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DC29F" w14:textId="77777777" w:rsidR="00F1784A" w:rsidRDefault="006D5C92">
      <w:pPr>
        <w:jc w:val="center"/>
        <w:rPr>
          <w:b/>
          <w:bCs/>
        </w:rPr>
      </w:pPr>
      <w:r>
        <w:rPr>
          <w:b/>
          <w:bCs/>
        </w:rPr>
        <w:t>CÜNAM AR-GE TEKNİKERİ İLAN METNİ</w:t>
      </w:r>
    </w:p>
    <w:p w14:paraId="7BC029C5" w14:textId="77777777" w:rsidR="00F1784A" w:rsidRDefault="006D5C92">
      <w:pPr>
        <w:jc w:val="both"/>
      </w:pPr>
      <w:r>
        <w:t>Sivas Cumhuriyet Üniversitesi Nanofotonik Uygulama ve Araştırma Merkezi (CÜNAM), 6550 sayılı Araştırma Altyapılarının Desteklenmesine Dair Kanun kapsamında tüzel kişilik kazanmış, Türkiye'nin lider ileri teknoloji Ar-Ge</w:t>
      </w:r>
      <w:r>
        <w:t xml:space="preserve"> ekosistemlerinden biridir. Küresel standartlarda yarı iletken teknolojileri, nanofotonik ve optoelektronik alanlarında araştırma ve geliştirme faaliyetleri yürüten merkezimiz, sahip olduğu idari ve mali özerklik altyapısıyla dinamik ve profesyonel bir çal</w:t>
      </w:r>
      <w:r>
        <w:t xml:space="preserve">ışma ortamı sunmaktadır. </w:t>
      </w:r>
    </w:p>
    <w:p w14:paraId="160F6CDF" w14:textId="7119EA62" w:rsidR="00F1784A" w:rsidRDefault="006D5C92">
      <w:pPr>
        <w:jc w:val="both"/>
      </w:pPr>
      <w:r>
        <w:t xml:space="preserve">Merkezimiz bünyesindeki gelişmiş laboratuvarların ve temiz oda (cleanroom) altyapısının sürdürülebilir işletimi, cihazların periyodik bakımları ve deneysel süreçlerin teknik destek operasyonlarında görev alacak </w:t>
      </w:r>
      <w:r>
        <w:rPr>
          <w:b/>
          <w:bCs/>
        </w:rPr>
        <w:t>"Ar-Ge Tekniker</w:t>
      </w:r>
      <w:r w:rsidR="0033247A">
        <w:rPr>
          <w:b/>
          <w:bCs/>
        </w:rPr>
        <w:t>i</w:t>
      </w:r>
      <w:r>
        <w:rPr>
          <w:b/>
          <w:bCs/>
        </w:rPr>
        <w:t>"</w:t>
      </w:r>
      <w:r>
        <w:t xml:space="preserve"> e</w:t>
      </w:r>
      <w:r>
        <w:t>kip arkadaşları arıyoruz.</w:t>
      </w:r>
    </w:p>
    <w:p w14:paraId="68D055B1" w14:textId="77777777" w:rsidR="00F1784A" w:rsidRDefault="006D5C92">
      <w:pPr>
        <w:jc w:val="both"/>
        <w:rPr>
          <w:b/>
          <w:bCs/>
        </w:rPr>
      </w:pPr>
      <w:r>
        <w:rPr>
          <w:b/>
          <w:bCs/>
        </w:rPr>
        <w:t>İş Tanımı</w:t>
      </w:r>
    </w:p>
    <w:p w14:paraId="1B74475D" w14:textId="19C26EFC" w:rsidR="00F1784A" w:rsidRDefault="006D5C92">
      <w:pPr>
        <w:numPr>
          <w:ilvl w:val="0"/>
          <w:numId w:val="1"/>
        </w:numPr>
        <w:jc w:val="both"/>
      </w:pPr>
      <w:r>
        <w:t>Yarıiletken malzeme ve aygıt geliştirme süreçlerinde kullanılan karakterizasyon cihazlarının günlük kullanım, ölçüm ve operasyon süreçlerini yürütmek,</w:t>
      </w:r>
    </w:p>
    <w:p w14:paraId="56E26904" w14:textId="77777777" w:rsidR="00F1784A" w:rsidRDefault="006D5C92">
      <w:pPr>
        <w:numPr>
          <w:ilvl w:val="0"/>
          <w:numId w:val="1"/>
        </w:numPr>
        <w:jc w:val="both"/>
      </w:pPr>
      <w:r>
        <w:t>Yapısal, optik ve elektriksel karakterizasyon sistemleri (XRD, AFM, o</w:t>
      </w:r>
      <w:r>
        <w:t>ptik mikroskop, elektriksel ölçüm sistemleri vb.) ile numune ölçümlerinin gerçekleştirilmesine destek olmak,</w:t>
      </w:r>
    </w:p>
    <w:p w14:paraId="46E39B10" w14:textId="77777777" w:rsidR="00F1784A" w:rsidRDefault="006D5C92">
      <w:pPr>
        <w:numPr>
          <w:ilvl w:val="0"/>
          <w:numId w:val="1"/>
        </w:numPr>
        <w:jc w:val="both"/>
      </w:pPr>
      <w:r>
        <w:t>Ölçüm öncesi numune hazırlama, cihaz ayarları, ölçüm sonrası veri kayıt ve dokümantasyon süreçlerini yürütmek,</w:t>
      </w:r>
    </w:p>
    <w:p w14:paraId="24C0A223" w14:textId="77777777" w:rsidR="00F1784A" w:rsidRDefault="006D5C92">
      <w:pPr>
        <w:numPr>
          <w:ilvl w:val="0"/>
          <w:numId w:val="1"/>
        </w:numPr>
        <w:jc w:val="both"/>
      </w:pPr>
      <w:r>
        <w:t>Laboratuvar cihazlarının periyodik k</w:t>
      </w:r>
      <w:r>
        <w:t>ontrol, temizlik, kalibrasyon, önleyici bakım ve kullanıcı takip süreçlerini yürütmek,</w:t>
      </w:r>
    </w:p>
    <w:p w14:paraId="0D18CCB8" w14:textId="77777777" w:rsidR="00F1784A" w:rsidRDefault="006D5C92">
      <w:pPr>
        <w:numPr>
          <w:ilvl w:val="0"/>
          <w:numId w:val="1"/>
        </w:numPr>
        <w:jc w:val="both"/>
      </w:pPr>
      <w:r>
        <w:t>Cihazlarda oluşabilecek teknik problemlerin ilk değerlendirmesini yapmak, bakım/onarım süreçlerini takip etmek ve teknik servis firmaları ile koordinasyonu sağlamak,</w:t>
      </w:r>
    </w:p>
    <w:p w14:paraId="0B726492" w14:textId="77777777" w:rsidR="00F1784A" w:rsidRDefault="006D5C92">
      <w:pPr>
        <w:numPr>
          <w:ilvl w:val="0"/>
          <w:numId w:val="1"/>
        </w:numPr>
        <w:jc w:val="both"/>
      </w:pPr>
      <w:r>
        <w:t>Yen</w:t>
      </w:r>
      <w:r>
        <w:t>i cihaz kurulumları, kabul testleri ve teknik altyapı hazırlık süreçlerinde görev almak,</w:t>
      </w:r>
    </w:p>
    <w:p w14:paraId="3E88F195" w14:textId="77777777" w:rsidR="00F1784A" w:rsidRDefault="006D5C92">
      <w:pPr>
        <w:numPr>
          <w:ilvl w:val="0"/>
          <w:numId w:val="1"/>
        </w:numPr>
        <w:jc w:val="both"/>
      </w:pPr>
      <w:r>
        <w:t>Laboratuvar ve temiz oda altyapısındaki gaz hatları, vakum sistemleri, soğutma üniteleri, iklimlendirme sistemleri ve yardımcı ekipmanların günlük kontrollerini gerçek</w:t>
      </w:r>
      <w:r>
        <w:t>leştirmek,</w:t>
      </w:r>
    </w:p>
    <w:p w14:paraId="26A8B1FA" w14:textId="77777777" w:rsidR="00F1784A" w:rsidRDefault="006D5C92">
      <w:pPr>
        <w:numPr>
          <w:ilvl w:val="0"/>
          <w:numId w:val="1"/>
        </w:numPr>
        <w:jc w:val="both"/>
      </w:pPr>
      <w:r>
        <w:t>Temiz oda ve hassas laboratuvar çalışma kurallarına uygun şekilde cihaz operasyonlarını yürütmek,</w:t>
      </w:r>
    </w:p>
    <w:p w14:paraId="30C09D49" w14:textId="77777777" w:rsidR="00F1784A" w:rsidRDefault="006D5C92">
      <w:pPr>
        <w:numPr>
          <w:ilvl w:val="0"/>
          <w:numId w:val="1"/>
        </w:numPr>
        <w:jc w:val="both"/>
      </w:pPr>
      <w:r>
        <w:t>Laboratuvar sarf malzemeleri, kimyasallar, gaz tüpleri ve teknik ihtiyaçların stok takibini yapmak ve ilgili süreçlere destek sağlamak,</w:t>
      </w:r>
    </w:p>
    <w:p w14:paraId="685ECEB6" w14:textId="77777777" w:rsidR="00F1784A" w:rsidRDefault="006D5C92">
      <w:pPr>
        <w:numPr>
          <w:ilvl w:val="0"/>
          <w:numId w:val="1"/>
        </w:numPr>
        <w:jc w:val="both"/>
      </w:pPr>
      <w:r>
        <w:t>Araştırmacı</w:t>
      </w:r>
      <w:r>
        <w:t xml:space="preserve"> ve mühendislerin yürüttüğü deneysel çalışmalar, numune hazırlıkları, test ve karakterizasyon süreçlerinde teknik destek sağlamak,</w:t>
      </w:r>
    </w:p>
    <w:p w14:paraId="182D0A1D" w14:textId="77777777" w:rsidR="00F1784A" w:rsidRDefault="006D5C92">
      <w:pPr>
        <w:numPr>
          <w:ilvl w:val="0"/>
          <w:numId w:val="1"/>
        </w:numPr>
        <w:jc w:val="both"/>
      </w:pPr>
      <w:r>
        <w:t>Ölçüm kayıtları, cihaz kullanım kayıtları, bakım formları ve teknik dokümantasyon çalışmalarını düzenli olarak gerçekleştirme</w:t>
      </w:r>
      <w:r>
        <w:t>k,</w:t>
      </w:r>
    </w:p>
    <w:p w14:paraId="12E9C6E4" w14:textId="77777777" w:rsidR="00F1784A" w:rsidRDefault="006D5C92">
      <w:pPr>
        <w:numPr>
          <w:ilvl w:val="0"/>
          <w:numId w:val="1"/>
        </w:numPr>
        <w:jc w:val="both"/>
        <w:rPr>
          <w:b/>
          <w:bCs/>
        </w:rPr>
      </w:pPr>
      <w:r>
        <w:t xml:space="preserve">Laboratuvar ortamında İş Sağlığı ve Güvenliği (İSG) ve atık yönetimi kurallarının uygulanmasına destek olmak. </w:t>
      </w:r>
    </w:p>
    <w:p w14:paraId="5069F6AC" w14:textId="77777777" w:rsidR="0033247A" w:rsidRDefault="0033247A">
      <w:pPr>
        <w:jc w:val="both"/>
        <w:rPr>
          <w:b/>
          <w:bCs/>
        </w:rPr>
      </w:pPr>
    </w:p>
    <w:p w14:paraId="1AABF398" w14:textId="77777777" w:rsidR="0033247A" w:rsidRDefault="0033247A">
      <w:pPr>
        <w:jc w:val="both"/>
        <w:rPr>
          <w:b/>
          <w:bCs/>
        </w:rPr>
      </w:pPr>
    </w:p>
    <w:p w14:paraId="2D7FCFD4" w14:textId="0C28F782" w:rsidR="00F1784A" w:rsidRDefault="006D5C92">
      <w:pPr>
        <w:jc w:val="both"/>
        <w:rPr>
          <w:b/>
          <w:bCs/>
        </w:rPr>
      </w:pPr>
      <w:r>
        <w:rPr>
          <w:b/>
          <w:bCs/>
        </w:rPr>
        <w:t>Genel ve Aranan Nitelikler</w:t>
      </w:r>
    </w:p>
    <w:p w14:paraId="1B54B7EF" w14:textId="77777777" w:rsidR="00F1784A" w:rsidRDefault="006D5C92">
      <w:pPr>
        <w:jc w:val="both"/>
        <w:rPr>
          <w:b/>
          <w:bCs/>
        </w:rPr>
      </w:pPr>
      <w:r>
        <w:rPr>
          <w:b/>
          <w:bCs/>
        </w:rPr>
        <w:lastRenderedPageBreak/>
        <w:t>Eğitim</w:t>
      </w:r>
    </w:p>
    <w:p w14:paraId="1C20FCFB" w14:textId="77777777" w:rsidR="00F1784A" w:rsidRDefault="006D5C92">
      <w:pPr>
        <w:numPr>
          <w:ilvl w:val="0"/>
          <w:numId w:val="2"/>
        </w:numPr>
        <w:jc w:val="both"/>
      </w:pPr>
      <w:r>
        <w:t xml:space="preserve">Meslek Yüksekokullarının Elektronik Teknolojisi, Mekatronik, Makine, Kimya Teknolojisi, Biyomedikal Cihaz </w:t>
      </w:r>
      <w:r>
        <w:t>Teknolojisi, Elektrik veya ilgili teknik bölümlerinden mezun olmak.</w:t>
      </w:r>
    </w:p>
    <w:p w14:paraId="3895E2A8" w14:textId="77777777" w:rsidR="00F1784A" w:rsidRDefault="006D5C92">
      <w:pPr>
        <w:jc w:val="both"/>
        <w:rPr>
          <w:b/>
          <w:bCs/>
        </w:rPr>
      </w:pPr>
      <w:r>
        <w:rPr>
          <w:b/>
          <w:bCs/>
        </w:rPr>
        <w:t>Tecrübe ve Teknik Yetkinlikler</w:t>
      </w:r>
    </w:p>
    <w:p w14:paraId="692506B8" w14:textId="77777777" w:rsidR="00F1784A" w:rsidRDefault="006D5C92">
      <w:pPr>
        <w:numPr>
          <w:ilvl w:val="0"/>
          <w:numId w:val="3"/>
        </w:numPr>
        <w:jc w:val="both"/>
      </w:pPr>
      <w:r>
        <w:t>Elektrik-elektronik, mekatronik, makine, otomasyon veya ilgili teknik alanlarda temel bilgi birikimine ve uygulama becerisine sahip olmak,</w:t>
      </w:r>
    </w:p>
    <w:p w14:paraId="4C7FA9D1" w14:textId="77777777" w:rsidR="00F1784A" w:rsidRDefault="006D5C92">
      <w:pPr>
        <w:numPr>
          <w:ilvl w:val="0"/>
          <w:numId w:val="3"/>
        </w:numPr>
        <w:jc w:val="both"/>
      </w:pPr>
      <w:r>
        <w:t>Laboratuvar cihazl</w:t>
      </w:r>
      <w:r>
        <w:t>arı, hassas ölçüm sistemleri, üretim ekipmanları veya Ar-Ge altyapılarının kullanım, bakım ve teknik destek süreçlerinde deneyim sahibi olmak tercih sebebidir,</w:t>
      </w:r>
    </w:p>
    <w:p w14:paraId="58A2A31F" w14:textId="77777777" w:rsidR="00F1784A" w:rsidRDefault="006D5C92">
      <w:pPr>
        <w:numPr>
          <w:ilvl w:val="0"/>
          <w:numId w:val="3"/>
        </w:numPr>
        <w:jc w:val="both"/>
      </w:pPr>
      <w:r>
        <w:t>Yarıiletken üretim süreçleri, epitaksi, ince film teknolojileri, temiz oda uygulamaları veya mal</w:t>
      </w:r>
      <w:r>
        <w:t>zeme karakterizasyon yöntemleri konusunda bilgi sahibi olmak tercih sebebidir,</w:t>
      </w:r>
    </w:p>
    <w:p w14:paraId="7258C130" w14:textId="77777777" w:rsidR="00F1784A" w:rsidRDefault="006D5C92">
      <w:pPr>
        <w:numPr>
          <w:ilvl w:val="0"/>
          <w:numId w:val="3"/>
        </w:numPr>
        <w:jc w:val="both"/>
      </w:pPr>
      <w:r>
        <w:t>Vakum sistemleri, yüksek saflıkta gaz hatları, soğutma altyapıları, mekanik bağlantılar ve temel elektronik sistemler hakkında bilgi sahibi olmak veya bu alanlarda gelişime açık</w:t>
      </w:r>
      <w:r>
        <w:t xml:space="preserve"> olmak,</w:t>
      </w:r>
    </w:p>
    <w:p w14:paraId="51F841FA" w14:textId="77777777" w:rsidR="00F1784A" w:rsidRDefault="006D5C92">
      <w:pPr>
        <w:numPr>
          <w:ilvl w:val="0"/>
          <w:numId w:val="3"/>
        </w:numPr>
        <w:jc w:val="both"/>
      </w:pPr>
      <w:r>
        <w:t>Teknik çizim, elektrik/mekanik bağlantı şemaları, cihaz kullanım kılavuzları ve bakım prosedürlerini okuyup uygulayabilecek teknik yeterliliğe sahip olmak,</w:t>
      </w:r>
    </w:p>
    <w:p w14:paraId="3C07F142" w14:textId="77777777" w:rsidR="00F1784A" w:rsidRDefault="006D5C92">
      <w:pPr>
        <w:numPr>
          <w:ilvl w:val="0"/>
          <w:numId w:val="3"/>
        </w:numPr>
        <w:jc w:val="both"/>
      </w:pPr>
      <w:r>
        <w:t>Ölçüm ekipmanları, temel elektronik test cihazları ve teknik el aletlerini etkin şekilde kul</w:t>
      </w:r>
      <w:r>
        <w:t>lanabilmek,</w:t>
      </w:r>
    </w:p>
    <w:p w14:paraId="17BF37DD" w14:textId="77777777" w:rsidR="00F1784A" w:rsidRDefault="006D5C92">
      <w:pPr>
        <w:numPr>
          <w:ilvl w:val="0"/>
          <w:numId w:val="3"/>
        </w:numPr>
        <w:jc w:val="both"/>
      </w:pPr>
      <w:r>
        <w:t>Laboratuvar cihazlarının periyodik kontrol, önleyici bakım, sarf malzeme takibi ve operasyon süreçlerine destek sağlayabilmek,</w:t>
      </w:r>
    </w:p>
    <w:p w14:paraId="1DCEC652" w14:textId="77777777" w:rsidR="00F1784A" w:rsidRDefault="006D5C92">
      <w:pPr>
        <w:numPr>
          <w:ilvl w:val="0"/>
          <w:numId w:val="3"/>
        </w:numPr>
        <w:jc w:val="both"/>
      </w:pPr>
      <w:r>
        <w:t>Cihaz arızalarının tespiti, teknik problemlerin analizi ve çözüm süreçlerinde sistematik yaklaşım gösterebilmek,</w:t>
      </w:r>
    </w:p>
    <w:p w14:paraId="209AF1A3" w14:textId="77777777" w:rsidR="00F1784A" w:rsidRDefault="006D5C92">
      <w:pPr>
        <w:numPr>
          <w:ilvl w:val="0"/>
          <w:numId w:val="3"/>
        </w:numPr>
        <w:jc w:val="both"/>
      </w:pPr>
      <w:r>
        <w:t>İş s</w:t>
      </w:r>
      <w:r>
        <w:t>ağlığı ve güvenliği kurallarına uygun olarak temiz oda ve hassas laboratuvar ortamlarında disiplinli çalışabilmek,</w:t>
      </w:r>
    </w:p>
    <w:p w14:paraId="7334B661" w14:textId="77777777" w:rsidR="00F1784A" w:rsidRDefault="006D5C92">
      <w:pPr>
        <w:numPr>
          <w:ilvl w:val="0"/>
          <w:numId w:val="3"/>
        </w:numPr>
        <w:jc w:val="both"/>
      </w:pPr>
      <w:r>
        <w:t>Proses kayıtları, cihaz kullanım kayıtları, bakım dokümantasyonu ve teknik raporlama süreçlerini düzenli şekilde yürütebilmek,</w:t>
      </w:r>
    </w:p>
    <w:p w14:paraId="4845A1F8" w14:textId="77777777" w:rsidR="00F1784A" w:rsidRDefault="006D5C92">
      <w:pPr>
        <w:numPr>
          <w:ilvl w:val="0"/>
          <w:numId w:val="3"/>
        </w:numPr>
        <w:jc w:val="both"/>
        <w:rPr>
          <w:b/>
          <w:bCs/>
        </w:rPr>
      </w:pPr>
      <w:r>
        <w:t>MS Office prog</w:t>
      </w:r>
      <w:r>
        <w:t>ramlarını temel düzeyde kullanabilmek (stok takibi, bakım kayıtları ve teknik raporlama süreçleri için).</w:t>
      </w:r>
    </w:p>
    <w:p w14:paraId="32639550" w14:textId="77777777" w:rsidR="00F1784A" w:rsidRDefault="006D5C92">
      <w:pPr>
        <w:jc w:val="both"/>
        <w:rPr>
          <w:b/>
          <w:bCs/>
        </w:rPr>
      </w:pPr>
      <w:r>
        <w:rPr>
          <w:b/>
          <w:bCs/>
        </w:rPr>
        <w:t>Kişisel Yetkinlikler</w:t>
      </w:r>
    </w:p>
    <w:p w14:paraId="3163FF52" w14:textId="77777777" w:rsidR="00F1784A" w:rsidRDefault="006D5C92">
      <w:pPr>
        <w:numPr>
          <w:ilvl w:val="0"/>
          <w:numId w:val="4"/>
        </w:numPr>
        <w:jc w:val="both"/>
      </w:pPr>
      <w:r>
        <w:t>Dikkatli, detaylara önem veren, kurallara ve proses disiplinine sıkı sıkıya bağlı.</w:t>
      </w:r>
    </w:p>
    <w:p w14:paraId="6446BDC9" w14:textId="77777777" w:rsidR="00F1784A" w:rsidRDefault="006D5C92">
      <w:pPr>
        <w:numPr>
          <w:ilvl w:val="0"/>
          <w:numId w:val="4"/>
        </w:numPr>
        <w:jc w:val="both"/>
      </w:pPr>
      <w:r>
        <w:t>Takım çalışmasına yatkın, sorumluluk sahibi, il</w:t>
      </w:r>
      <w:r>
        <w:t xml:space="preserve">etişim becerileri kuvvetli ve dinamik bir çalışma temposuna ayak uydurabilecek. </w:t>
      </w:r>
    </w:p>
    <w:p w14:paraId="08EBAF6D" w14:textId="77777777" w:rsidR="00F1784A" w:rsidRDefault="006D5C92">
      <w:pPr>
        <w:numPr>
          <w:ilvl w:val="0"/>
          <w:numId w:val="4"/>
        </w:numPr>
        <w:jc w:val="both"/>
      </w:pPr>
      <w:r>
        <w:t>Değişen teknik ihtiyaçlara uyum sağlayabilmek ve çözüm odaklı yaklaşım göstermek,</w:t>
      </w:r>
    </w:p>
    <w:p w14:paraId="54B58F2F" w14:textId="77777777" w:rsidR="00F1784A" w:rsidRDefault="006D5C92">
      <w:pPr>
        <w:jc w:val="both"/>
        <w:rPr>
          <w:b/>
          <w:bCs/>
        </w:rPr>
      </w:pPr>
      <w:r>
        <w:rPr>
          <w:b/>
          <w:bCs/>
        </w:rPr>
        <w:t>Diğer Kriterler</w:t>
      </w:r>
    </w:p>
    <w:p w14:paraId="5442ECD1" w14:textId="77777777" w:rsidR="00F1784A" w:rsidRDefault="006D5C92">
      <w:pPr>
        <w:numPr>
          <w:ilvl w:val="0"/>
          <w:numId w:val="5"/>
        </w:numPr>
        <w:jc w:val="both"/>
      </w:pPr>
      <w:r>
        <w:rPr>
          <w:b/>
          <w:bCs/>
        </w:rPr>
        <w:t>Askerlik Durumu:</w:t>
      </w:r>
      <w:r>
        <w:t xml:space="preserve"> Erkek adaylar için askerlik hizmetini tamamlamış veya muaf o</w:t>
      </w:r>
      <w:r>
        <w:t xml:space="preserve">lmak. </w:t>
      </w:r>
    </w:p>
    <w:p w14:paraId="2683F99A" w14:textId="77777777" w:rsidR="00F1784A" w:rsidRDefault="006D5C92">
      <w:pPr>
        <w:numPr>
          <w:ilvl w:val="0"/>
          <w:numId w:val="5"/>
        </w:numPr>
        <w:jc w:val="both"/>
      </w:pPr>
      <w:r>
        <w:rPr>
          <w:b/>
          <w:bCs/>
        </w:rPr>
        <w:t>Seyahat/Mobilite:</w:t>
      </w:r>
      <w:r>
        <w:t xml:space="preserve"> Teknik eğitimler veya iş birlikleri kapsamında seyahat engeli bulunmamak. </w:t>
      </w:r>
    </w:p>
    <w:p w14:paraId="300B3D19" w14:textId="77777777" w:rsidR="00F1784A" w:rsidRDefault="006D5C92">
      <w:pPr>
        <w:jc w:val="both"/>
        <w:rPr>
          <w:b/>
          <w:bCs/>
        </w:rPr>
      </w:pPr>
      <w:r>
        <w:rPr>
          <w:b/>
          <w:bCs/>
        </w:rPr>
        <w:t>Sağlanan İmkanlar ve Avantajlar</w:t>
      </w:r>
    </w:p>
    <w:p w14:paraId="3A33ABBE" w14:textId="77777777" w:rsidR="00F1784A" w:rsidRDefault="006D5C92">
      <w:pPr>
        <w:numPr>
          <w:ilvl w:val="0"/>
          <w:numId w:val="6"/>
        </w:numPr>
        <w:jc w:val="both"/>
      </w:pPr>
      <w:r>
        <w:rPr>
          <w:b/>
          <w:bCs/>
        </w:rPr>
        <w:lastRenderedPageBreak/>
        <w:t>Esnek ve Rekabetçi Ücret Politikası:</w:t>
      </w:r>
      <w:r>
        <w:t xml:space="preserve"> 6550 sayılı Kanun'un sağladığı özerklik çerçevesinde kişinin uzmanlık, yetkinlik ve kıd</w:t>
      </w:r>
      <w:r>
        <w:t xml:space="preserve">emine göre belirlenen piyasa koşullarında net ücretlendirme. </w:t>
      </w:r>
    </w:p>
    <w:p w14:paraId="6B5072AF" w14:textId="77777777" w:rsidR="00F1784A" w:rsidRDefault="006D5C92">
      <w:pPr>
        <w:numPr>
          <w:ilvl w:val="0"/>
          <w:numId w:val="6"/>
        </w:numPr>
        <w:jc w:val="both"/>
      </w:pPr>
      <w:r>
        <w:rPr>
          <w:b/>
          <w:bCs/>
        </w:rPr>
        <w:t>Teknolojik Altyapı:</w:t>
      </w:r>
      <w:r>
        <w:t xml:space="preserve"> Türkiye'nin en modern ve gelişmiş yarıiletken laboratuvar altyapılarından birinde, ileri düzey cihazlarla çalışma ve mesleki olarak gelişim sağlama fırsatı. </w:t>
      </w:r>
    </w:p>
    <w:p w14:paraId="084C9B8A" w14:textId="77777777" w:rsidR="00F1784A" w:rsidRDefault="006D5C92">
      <w:pPr>
        <w:numPr>
          <w:ilvl w:val="0"/>
          <w:numId w:val="6"/>
        </w:numPr>
        <w:jc w:val="both"/>
      </w:pPr>
      <w:r>
        <w:rPr>
          <w:b/>
          <w:bCs/>
        </w:rPr>
        <w:t>Lokasyon:</w:t>
      </w:r>
      <w:r>
        <w:t xml:space="preserve"> Sivas Cumhuriyet Üniversitesi Kampüsü içerisinde yer alan CÜNAM binası. </w:t>
      </w:r>
    </w:p>
    <w:p w14:paraId="7DF7A943" w14:textId="77777777" w:rsidR="00F1784A" w:rsidRDefault="006D5C92">
      <w:pPr>
        <w:jc w:val="both"/>
        <w:rPr>
          <w:b/>
          <w:bCs/>
        </w:rPr>
      </w:pPr>
      <w:r>
        <w:rPr>
          <w:b/>
          <w:bCs/>
        </w:rPr>
        <w:t>Başvuru Süreci</w:t>
      </w:r>
    </w:p>
    <w:p w14:paraId="21256F05" w14:textId="77777777" w:rsidR="00F1784A" w:rsidRDefault="006D5C92">
      <w:pPr>
        <w:jc w:val="both"/>
      </w:pPr>
      <w:r>
        <w:t xml:space="preserve">Adayların güncel özgeçmişlerini (CV) tek bir PDF dosyası şeklinde </w:t>
      </w:r>
      <w:r>
        <w:rPr>
          <w:b/>
          <w:bCs/>
        </w:rPr>
        <w:t>cunam@cumhuriyet.edu.tr</w:t>
      </w:r>
      <w:r>
        <w:t xml:space="preserve"> adresine, e-posta konu başlığına </w:t>
      </w:r>
      <w:r>
        <w:rPr>
          <w:b/>
          <w:bCs/>
        </w:rPr>
        <w:t>"Ar-Ge Teknisyeni Başvurusu - [Adınız Soyadı</w:t>
      </w:r>
      <w:r>
        <w:rPr>
          <w:b/>
          <w:bCs/>
        </w:rPr>
        <w:t>nız]"</w:t>
      </w:r>
      <w:r>
        <w:t xml:space="preserve"> yazarak iletmeleri gerekmektedir. </w:t>
      </w:r>
      <w:bookmarkStart w:id="0" w:name="_GoBack"/>
      <w:bookmarkEnd w:id="0"/>
    </w:p>
    <w:p w14:paraId="3420DA13" w14:textId="77777777" w:rsidR="00F1784A" w:rsidRDefault="00F1784A">
      <w:pPr>
        <w:jc w:val="both"/>
      </w:pPr>
    </w:p>
    <w:sectPr w:rsidR="00F1784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D40EF" w14:textId="77777777" w:rsidR="006D5C92" w:rsidRDefault="006D5C92">
      <w:pPr>
        <w:spacing w:after="0" w:line="240" w:lineRule="auto"/>
      </w:pPr>
      <w:r>
        <w:separator/>
      </w:r>
    </w:p>
  </w:endnote>
  <w:endnote w:type="continuationSeparator" w:id="0">
    <w:p w14:paraId="16D08A88" w14:textId="77777777" w:rsidR="006D5C92" w:rsidRDefault="006D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ED560" w14:textId="77777777" w:rsidR="006D5C92" w:rsidRDefault="006D5C92">
      <w:pPr>
        <w:spacing w:after="0" w:line="240" w:lineRule="auto"/>
      </w:pPr>
      <w:r>
        <w:separator/>
      </w:r>
    </w:p>
  </w:footnote>
  <w:footnote w:type="continuationSeparator" w:id="0">
    <w:p w14:paraId="7B645EE3" w14:textId="77777777" w:rsidR="006D5C92" w:rsidRDefault="006D5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59E0"/>
    <w:multiLevelType w:val="multilevel"/>
    <w:tmpl w:val="3966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57A69"/>
    <w:multiLevelType w:val="multilevel"/>
    <w:tmpl w:val="9042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10C71"/>
    <w:multiLevelType w:val="multilevel"/>
    <w:tmpl w:val="785E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620B5B"/>
    <w:multiLevelType w:val="multilevel"/>
    <w:tmpl w:val="8A0A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DF6EAA"/>
    <w:multiLevelType w:val="multilevel"/>
    <w:tmpl w:val="67AA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DB293F"/>
    <w:multiLevelType w:val="multilevel"/>
    <w:tmpl w:val="7D3C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4A"/>
    <w:rsid w:val="000B3D60"/>
    <w:rsid w:val="0033247A"/>
    <w:rsid w:val="004112F4"/>
    <w:rsid w:val="00482869"/>
    <w:rsid w:val="006D2D0E"/>
    <w:rsid w:val="006D5C92"/>
    <w:rsid w:val="00A02731"/>
    <w:rsid w:val="00F1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29E8"/>
  <w15:docId w15:val="{8EF232CE-A5BC-4C04-9B6D-4EA2FEE1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lo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DzTablo1">
    <w:name w:val="Plain Table 1"/>
    <w:basedOn w:val="NormalTablo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basedOn w:val="NormalTablo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KlavuzTablo2">
    <w:name w:val="Grid Table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Tablo3">
    <w:name w:val="Grid Table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uTablo4">
    <w:name w:val="Grid Table 4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Tablo5Koyu">
    <w:name w:val="Grid Table 5 Dark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KlavuzTablo6Renkli">
    <w:name w:val="Grid Table 6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KlavuzTablo7Renkli">
    <w:name w:val="Grid Table 7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Tablo1Ak">
    <w:name w:val="List Table 1 Light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Tablo2">
    <w:name w:val="List Table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Tablo3">
    <w:name w:val="List Table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Tablo4">
    <w:name w:val="List Table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Tablo5-Koyu">
    <w:name w:val="List Table 5 Dark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Tablo6Renkli">
    <w:name w:val="List Table 6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Tablo7Renkli">
    <w:name w:val="List Table 7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VarsaylanParagrafYazTipi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VarsaylanParagrafYazTipi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VarsaylanParagrafYazTipi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VarsaylanParagrafYazTipi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VarsaylanParagrafYazTipi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VarsaylanParagrafYazTipi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VarsaylanParagrafYazTipi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VarsaylanParagrafYazTipi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VarsaylanParagrafYazTipi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VarsaylanParagrafYazTipi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VarsaylanParagrafYazTipi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VarsaylanParagrafYazTipi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VarsaylanParagrafYazTipi"/>
    <w:uiPriority w:val="30"/>
    <w:rPr>
      <w:i/>
      <w:iCs/>
      <w:color w:val="2E74B5" w:themeColor="accent1" w:themeShade="BF"/>
    </w:rPr>
  </w:style>
  <w:style w:type="paragraph" w:styleId="AralkYok">
    <w:name w:val="No Spacing"/>
    <w:basedOn w:val="Normal"/>
    <w:uiPriority w:val="1"/>
    <w:qFormat/>
    <w:pPr>
      <w:spacing w:after="0" w:line="240" w:lineRule="auto"/>
    </w:pPr>
  </w:style>
  <w:style w:type="character" w:styleId="HafifVurgulama">
    <w:name w:val="Subtle Emphasis"/>
    <w:basedOn w:val="VarsaylanParagrafYazTipi"/>
    <w:uiPriority w:val="19"/>
    <w:qFormat/>
    <w:rPr>
      <w:i/>
      <w:iCs/>
      <w:color w:val="404040" w:themeColor="text1" w:themeTint="BF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styleId="HafifBavuru">
    <w:name w:val="Subtle Reference"/>
    <w:basedOn w:val="VarsaylanParagrafYazTipi"/>
    <w:uiPriority w:val="31"/>
    <w:qFormat/>
    <w:rPr>
      <w:smallCaps/>
      <w:color w:val="5A5A5A" w:themeColor="text1" w:themeTint="A5"/>
    </w:rPr>
  </w:style>
  <w:style w:type="character" w:styleId="KitapBal">
    <w:name w:val="Book Title"/>
    <w:basedOn w:val="VarsaylanParagrafYazTipi"/>
    <w:uiPriority w:val="33"/>
    <w:qFormat/>
    <w:rPr>
      <w:b/>
      <w:bCs/>
      <w:i/>
      <w:iCs/>
      <w:spacing w:val="5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ResimYazs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Pr>
      <w:vertAlign w:val="superscript"/>
    </w:r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954F72" w:themeColor="followedHyperlink"/>
      <w:u w:val="single"/>
    </w:rPr>
  </w:style>
  <w:style w:type="paragraph" w:styleId="T1">
    <w:name w:val="toc 1"/>
    <w:basedOn w:val="Normal"/>
    <w:next w:val="Normal"/>
    <w:uiPriority w:val="39"/>
    <w:unhideWhenUsed/>
    <w:pPr>
      <w:spacing w:after="100"/>
    </w:pPr>
  </w:style>
  <w:style w:type="paragraph" w:styleId="T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YerTutucuMetni">
    <w:name w:val="Placeholder Text"/>
    <w:basedOn w:val="VarsaylanParagrafYazTipi"/>
    <w:uiPriority w:val="99"/>
    <w:semiHidden/>
    <w:rPr>
      <w:color w:val="666666"/>
    </w:r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Petek Gökçe Özün</dc:creator>
  <cp:keywords/>
  <dc:description/>
  <cp:lastModifiedBy>Nanofotonik</cp:lastModifiedBy>
  <cp:revision>4</cp:revision>
  <cp:lastPrinted>2026-07-07T05:35:00Z</cp:lastPrinted>
  <dcterms:created xsi:type="dcterms:W3CDTF">2026-07-06T06:51:00Z</dcterms:created>
  <dcterms:modified xsi:type="dcterms:W3CDTF">2026-07-07T05:35:00Z</dcterms:modified>
</cp:coreProperties>
</file>