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2E2A" w14:textId="2CD41714" w:rsidR="004753DE" w:rsidRPr="00002D02" w:rsidRDefault="00002D02" w:rsidP="001F770C">
      <w:pPr>
        <w:spacing w:after="0" w:line="360" w:lineRule="auto"/>
        <w:jc w:val="both"/>
        <w:rPr>
          <w:rFonts w:ascii="Calibri" w:hAnsi="Calibri" w:cs="Calibri"/>
          <w:b/>
          <w:bCs/>
          <w:sz w:val="24"/>
          <w:szCs w:val="24"/>
        </w:rPr>
      </w:pPr>
      <w:r w:rsidRPr="00002D02">
        <w:rPr>
          <w:rFonts w:ascii="Calibri" w:hAnsi="Calibri" w:cs="Calibri"/>
          <w:b/>
          <w:bCs/>
          <w:sz w:val="24"/>
          <w:szCs w:val="24"/>
        </w:rPr>
        <w:t>SÜPERKAPASİTÖRLER</w:t>
      </w:r>
    </w:p>
    <w:p w14:paraId="36FD6A59" w14:textId="7E11E68B" w:rsidR="00002D02" w:rsidRPr="00002D02" w:rsidRDefault="00002D02" w:rsidP="001F770C">
      <w:pPr>
        <w:spacing w:after="0" w:line="360" w:lineRule="auto"/>
        <w:jc w:val="both"/>
        <w:rPr>
          <w:rFonts w:ascii="Calibri" w:hAnsi="Calibri" w:cs="Calibri"/>
          <w:b/>
          <w:bCs/>
          <w:sz w:val="24"/>
          <w:szCs w:val="24"/>
        </w:rPr>
      </w:pPr>
      <w:r w:rsidRPr="00002D02">
        <w:rPr>
          <w:rFonts w:ascii="Calibri" w:hAnsi="Calibri" w:cs="Calibri"/>
          <w:b/>
          <w:bCs/>
          <w:sz w:val="24"/>
          <w:szCs w:val="24"/>
        </w:rPr>
        <w:t>Süperkapasitörler</w:t>
      </w:r>
    </w:p>
    <w:p w14:paraId="16ABA5FB" w14:textId="5CE036F7" w:rsidR="00837F07" w:rsidRPr="00B2444A" w:rsidRDefault="00837F07" w:rsidP="001F770C">
      <w:pPr>
        <w:spacing w:after="0" w:line="360" w:lineRule="auto"/>
        <w:jc w:val="both"/>
        <w:rPr>
          <w:rFonts w:ascii="Calibri" w:hAnsi="Calibri" w:cs="Calibri"/>
          <w:sz w:val="24"/>
          <w:szCs w:val="24"/>
        </w:rPr>
      </w:pPr>
      <w:r w:rsidRPr="00B2444A">
        <w:rPr>
          <w:rFonts w:ascii="Calibri" w:hAnsi="Calibri" w:cs="Calibri"/>
          <w:sz w:val="24"/>
          <w:szCs w:val="24"/>
        </w:rPr>
        <w:t>Süperkapasitörler, enerji depolama sistemleri arasında yüksek güç yoğunluğu, hızlı şarj-deşarj özellikleri ve uzun çevrim ömrü gibi avantajları sayesinde kritik bir konuma sahiptir</w:t>
      </w:r>
      <w:r w:rsidR="00892040">
        <w:rPr>
          <w:rFonts w:ascii="Calibri" w:hAnsi="Calibri" w:cs="Calibri"/>
          <w:sz w:val="24"/>
          <w:szCs w:val="24"/>
        </w:rPr>
        <w:t>ler</w:t>
      </w:r>
      <w:r w:rsidRPr="00B2444A">
        <w:rPr>
          <w:rFonts w:ascii="Calibri" w:hAnsi="Calibri" w:cs="Calibri"/>
          <w:sz w:val="24"/>
          <w:szCs w:val="24"/>
        </w:rPr>
        <w:t xml:space="preserve">. Geleneksel kapasitörler ile </w:t>
      </w:r>
      <w:r w:rsidR="0024533F">
        <w:rPr>
          <w:rFonts w:ascii="Calibri" w:hAnsi="Calibri" w:cs="Calibri"/>
          <w:sz w:val="24"/>
          <w:szCs w:val="24"/>
        </w:rPr>
        <w:t>bataryalar</w:t>
      </w:r>
      <w:r w:rsidRPr="00B2444A">
        <w:rPr>
          <w:rFonts w:ascii="Calibri" w:hAnsi="Calibri" w:cs="Calibri"/>
          <w:sz w:val="24"/>
          <w:szCs w:val="24"/>
        </w:rPr>
        <w:t xml:space="preserve"> arasında bir yerde konumlanan bu cihazlar, ani enerji taleplerini karşılayabilme yetenekleri sayesinde birçok endüstriyel ve taşınabilir uygulama için ideal çözümler sunmaktadır </w:t>
      </w:r>
      <w:r>
        <w:rPr>
          <w:rFonts w:ascii="Calibri" w:hAnsi="Calibri" w:cs="Calibri"/>
          <w:sz w:val="24"/>
          <w:szCs w:val="24"/>
        </w:rPr>
        <w:t xml:space="preserve">(Şekil 1). </w:t>
      </w:r>
      <w:r w:rsidRPr="00B2444A">
        <w:rPr>
          <w:rFonts w:ascii="Calibri" w:hAnsi="Calibri" w:cs="Calibri"/>
          <w:sz w:val="24"/>
          <w:szCs w:val="24"/>
        </w:rPr>
        <w:t>Özellikle elektrikli taşıtlar, yenilenebilir enerji sistemleri ve giyilebilir teknolojiler gibi alanlarda süperkapasitörlerin rolü g</w:t>
      </w:r>
      <w:r w:rsidR="00892040">
        <w:rPr>
          <w:rFonts w:ascii="Calibri" w:hAnsi="Calibri" w:cs="Calibri"/>
          <w:sz w:val="24"/>
          <w:szCs w:val="24"/>
        </w:rPr>
        <w:t>ün geçtikçe</w:t>
      </w:r>
      <w:r w:rsidRPr="00B2444A">
        <w:rPr>
          <w:rFonts w:ascii="Calibri" w:hAnsi="Calibri" w:cs="Calibri"/>
          <w:sz w:val="24"/>
          <w:szCs w:val="24"/>
        </w:rPr>
        <w:t xml:space="preserve"> artmaktadır.</w:t>
      </w:r>
    </w:p>
    <w:p w14:paraId="59D3135A" w14:textId="005D6CF1" w:rsidR="00002D02" w:rsidRPr="00002D02" w:rsidRDefault="00002D02" w:rsidP="001F770C">
      <w:pPr>
        <w:spacing w:after="0" w:line="360" w:lineRule="auto"/>
        <w:jc w:val="both"/>
        <w:rPr>
          <w:rFonts w:ascii="Calibri" w:hAnsi="Calibri" w:cs="Calibri"/>
          <w:sz w:val="24"/>
          <w:szCs w:val="24"/>
        </w:rPr>
      </w:pPr>
      <w:r w:rsidRPr="00002D02">
        <w:rPr>
          <w:rFonts w:ascii="Calibri" w:hAnsi="Calibri" w:cs="Calibri"/>
          <w:noProof/>
          <w:sz w:val="24"/>
          <w:szCs w:val="24"/>
          <w:lang w:eastAsia="tr-TR"/>
        </w:rPr>
        <w:drawing>
          <wp:inline distT="0" distB="0" distL="0" distR="0" wp14:anchorId="1B29011E" wp14:editId="0F1C8BC8">
            <wp:extent cx="5760000" cy="2941277"/>
            <wp:effectExtent l="0" t="0" r="0" b="0"/>
            <wp:docPr id="1250051548" name="Resim 1"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1548" name="Resim 1" descr="metin, ekran görüntüsü, diyagram, çizgi içeren bir resim&#10;&#10;Açıklama otomatik olarak oluşturuldu"/>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512" t="23226" r="18311" b="20325"/>
                    <a:stretch/>
                  </pic:blipFill>
                  <pic:spPr bwMode="auto">
                    <a:xfrm>
                      <a:off x="0" y="0"/>
                      <a:ext cx="5760000" cy="2941277"/>
                    </a:xfrm>
                    <a:prstGeom prst="rect">
                      <a:avLst/>
                    </a:prstGeom>
                    <a:noFill/>
                    <a:ln>
                      <a:noFill/>
                    </a:ln>
                    <a:extLst>
                      <a:ext uri="{53640926-AAD7-44D8-BBD7-CCE9431645EC}">
                        <a14:shadowObscured xmlns:a14="http://schemas.microsoft.com/office/drawing/2010/main"/>
                      </a:ext>
                    </a:extLst>
                  </pic:spPr>
                </pic:pic>
              </a:graphicData>
            </a:graphic>
          </wp:inline>
        </w:drawing>
      </w:r>
    </w:p>
    <w:p w14:paraId="0CCC85EF" w14:textId="1D3AE530" w:rsidR="00282140" w:rsidRPr="00282140" w:rsidRDefault="00002D02" w:rsidP="001F770C">
      <w:pPr>
        <w:pStyle w:val="ResimYazs"/>
        <w:spacing w:before="0" w:after="0" w:line="360" w:lineRule="auto"/>
        <w:jc w:val="both"/>
        <w:rPr>
          <w:rFonts w:ascii="Calibri" w:hAnsi="Calibri" w:cs="Calibri"/>
          <w:szCs w:val="24"/>
        </w:rPr>
      </w:pPr>
      <w:bookmarkStart w:id="0" w:name="_Toc159959395"/>
      <w:r w:rsidRPr="00002D02">
        <w:rPr>
          <w:rFonts w:ascii="Calibri" w:hAnsi="Calibri" w:cs="Calibri"/>
          <w:b/>
          <w:bCs/>
          <w:szCs w:val="24"/>
        </w:rPr>
        <w:t xml:space="preserve">Şekil </w:t>
      </w:r>
      <w:r w:rsidRPr="00002D02">
        <w:rPr>
          <w:rFonts w:ascii="Calibri" w:hAnsi="Calibri" w:cs="Calibri"/>
          <w:b/>
          <w:bCs/>
          <w:szCs w:val="24"/>
        </w:rPr>
        <w:fldChar w:fldCharType="begin"/>
      </w:r>
      <w:r w:rsidRPr="00002D02">
        <w:rPr>
          <w:rFonts w:ascii="Calibri" w:hAnsi="Calibri" w:cs="Calibri"/>
          <w:b/>
          <w:bCs/>
          <w:szCs w:val="24"/>
        </w:rPr>
        <w:instrText xml:space="preserve"> SEQ Şekil \* ARABIC </w:instrText>
      </w:r>
      <w:r w:rsidRPr="00002D02">
        <w:rPr>
          <w:rFonts w:ascii="Calibri" w:hAnsi="Calibri" w:cs="Calibri"/>
          <w:b/>
          <w:bCs/>
          <w:szCs w:val="24"/>
        </w:rPr>
        <w:fldChar w:fldCharType="separate"/>
      </w:r>
      <w:r w:rsidRPr="00002D02">
        <w:rPr>
          <w:rFonts w:ascii="Calibri" w:hAnsi="Calibri" w:cs="Calibri"/>
          <w:b/>
          <w:bCs/>
          <w:noProof/>
          <w:szCs w:val="24"/>
        </w:rPr>
        <w:t>1</w:t>
      </w:r>
      <w:r w:rsidRPr="00002D02">
        <w:rPr>
          <w:rFonts w:ascii="Calibri" w:hAnsi="Calibri" w:cs="Calibri"/>
          <w:b/>
          <w:bCs/>
          <w:szCs w:val="24"/>
        </w:rPr>
        <w:fldChar w:fldCharType="end"/>
      </w:r>
      <w:r w:rsidRPr="00002D02">
        <w:rPr>
          <w:rFonts w:ascii="Calibri" w:hAnsi="Calibri" w:cs="Calibri"/>
          <w:b/>
          <w:bCs/>
          <w:szCs w:val="24"/>
        </w:rPr>
        <w:t>.</w:t>
      </w:r>
      <w:r w:rsidRPr="00002D02">
        <w:rPr>
          <w:rFonts w:ascii="Calibri" w:hAnsi="Calibri" w:cs="Calibri"/>
          <w:szCs w:val="24"/>
        </w:rPr>
        <w:t xml:space="preserve"> Kapasitör, süperkapasitör ve bataryaların özelliklerinin karşılaştırılması.</w:t>
      </w:r>
      <w:bookmarkEnd w:id="0"/>
    </w:p>
    <w:p w14:paraId="342641A1" w14:textId="234A1771" w:rsidR="00002D02" w:rsidRDefault="00002D02" w:rsidP="001F770C">
      <w:pPr>
        <w:spacing w:after="0" w:line="360" w:lineRule="auto"/>
        <w:jc w:val="both"/>
        <w:rPr>
          <w:rFonts w:ascii="Calibri" w:hAnsi="Calibri" w:cs="Calibri"/>
          <w:b/>
          <w:bCs/>
          <w:sz w:val="24"/>
          <w:szCs w:val="24"/>
        </w:rPr>
      </w:pPr>
      <w:r w:rsidRPr="00002D02">
        <w:rPr>
          <w:rFonts w:ascii="Calibri" w:hAnsi="Calibri" w:cs="Calibri"/>
          <w:b/>
          <w:bCs/>
          <w:sz w:val="24"/>
          <w:szCs w:val="24"/>
        </w:rPr>
        <w:t>Süperkapasitör Çeşitleri</w:t>
      </w:r>
    </w:p>
    <w:p w14:paraId="618818E3" w14:textId="54DCEC15" w:rsidR="00837F07" w:rsidRPr="00837F07" w:rsidRDefault="00837F07" w:rsidP="001F770C">
      <w:pPr>
        <w:spacing w:after="0" w:line="360" w:lineRule="auto"/>
        <w:jc w:val="both"/>
        <w:rPr>
          <w:rFonts w:ascii="Calibri" w:hAnsi="Calibri" w:cs="Calibri"/>
          <w:sz w:val="24"/>
          <w:szCs w:val="24"/>
        </w:rPr>
      </w:pPr>
      <w:r w:rsidRPr="00B2444A">
        <w:rPr>
          <w:rFonts w:ascii="Calibri" w:hAnsi="Calibri" w:cs="Calibri"/>
          <w:sz w:val="24"/>
          <w:szCs w:val="24"/>
        </w:rPr>
        <w:t>Süperkapasitörler başlıca üç sınıfa ayrılır</w:t>
      </w:r>
      <w:r w:rsidR="00C516DD">
        <w:rPr>
          <w:rFonts w:ascii="Calibri" w:hAnsi="Calibri" w:cs="Calibri"/>
          <w:sz w:val="24"/>
          <w:szCs w:val="24"/>
        </w:rPr>
        <w:t>lar:</w:t>
      </w:r>
      <w:r w:rsidR="00C4705F" w:rsidRPr="00C4705F">
        <w:rPr>
          <w:rFonts w:ascii="Calibri" w:hAnsi="Calibri" w:cs="Calibri"/>
          <w:sz w:val="24"/>
          <w:szCs w:val="24"/>
        </w:rPr>
        <w:t xml:space="preserve"> </w:t>
      </w:r>
    </w:p>
    <w:p w14:paraId="45C04F32" w14:textId="3DA24E47" w:rsidR="00837F07" w:rsidRPr="00837F07" w:rsidRDefault="00837F07" w:rsidP="001F770C">
      <w:pPr>
        <w:pStyle w:val="ListeParagraf"/>
        <w:numPr>
          <w:ilvl w:val="0"/>
          <w:numId w:val="1"/>
        </w:numPr>
        <w:spacing w:after="0" w:line="360" w:lineRule="auto"/>
        <w:jc w:val="both"/>
        <w:rPr>
          <w:rFonts w:ascii="Calibri" w:hAnsi="Calibri" w:cs="Calibri"/>
          <w:sz w:val="24"/>
          <w:szCs w:val="24"/>
        </w:rPr>
      </w:pPr>
      <w:r w:rsidRPr="00837F07">
        <w:rPr>
          <w:rFonts w:ascii="Calibri" w:hAnsi="Calibri" w:cs="Calibri"/>
          <w:sz w:val="24"/>
          <w:szCs w:val="24"/>
        </w:rPr>
        <w:t>Elektrik Çift Katmanlı Kapasitörler (EDLC</w:t>
      </w:r>
      <w:r w:rsidR="00553D82">
        <w:rPr>
          <w:rFonts w:ascii="Calibri" w:hAnsi="Calibri" w:cs="Calibri"/>
          <w:sz w:val="24"/>
          <w:szCs w:val="24"/>
        </w:rPr>
        <w:t>’ler</w:t>
      </w:r>
      <w:r w:rsidRPr="00837F07">
        <w:rPr>
          <w:rFonts w:ascii="Calibri" w:hAnsi="Calibri" w:cs="Calibri"/>
          <w:sz w:val="24"/>
          <w:szCs w:val="24"/>
        </w:rPr>
        <w:t>): Karbon bazlı elektrotlarla çalışır ve enerji depolama fiziksel adsorpsiyon yoluyla gerçekleşir. Faradayik olmayan bu sistemler yüksek çevrim ömrüne sahiptir.</w:t>
      </w:r>
    </w:p>
    <w:p w14:paraId="3D9360AB" w14:textId="77777777" w:rsidR="00C4705F" w:rsidRDefault="00837F07" w:rsidP="001F770C">
      <w:pPr>
        <w:pStyle w:val="ListeParagraf"/>
        <w:numPr>
          <w:ilvl w:val="0"/>
          <w:numId w:val="1"/>
        </w:numPr>
        <w:spacing w:after="0" w:line="360" w:lineRule="auto"/>
        <w:jc w:val="both"/>
        <w:rPr>
          <w:rFonts w:ascii="Calibri" w:hAnsi="Calibri" w:cs="Calibri"/>
          <w:sz w:val="24"/>
          <w:szCs w:val="24"/>
        </w:rPr>
      </w:pPr>
      <w:proofErr w:type="spellStart"/>
      <w:r w:rsidRPr="00C4705F">
        <w:rPr>
          <w:rFonts w:ascii="Calibri" w:hAnsi="Calibri" w:cs="Calibri"/>
          <w:sz w:val="24"/>
          <w:szCs w:val="24"/>
        </w:rPr>
        <w:t>Psödokapasitörler</w:t>
      </w:r>
      <w:proofErr w:type="spellEnd"/>
      <w:r w:rsidRPr="00C4705F">
        <w:rPr>
          <w:rFonts w:ascii="Calibri" w:hAnsi="Calibri" w:cs="Calibri"/>
          <w:sz w:val="24"/>
          <w:szCs w:val="24"/>
        </w:rPr>
        <w:t xml:space="preserve">: Metal oksitler, iletken polimerler ve sülfür bazlı elektrotlar içerir. Redoks reaksiyonlarına dayalı faradayik süreçlerle çalışır. Spesifik kapasitansları yüksektir ancak döngü kararlılıkları </w:t>
      </w:r>
      <w:proofErr w:type="spellStart"/>
      <w:r w:rsidRPr="00C4705F">
        <w:rPr>
          <w:rFonts w:ascii="Calibri" w:hAnsi="Calibri" w:cs="Calibri"/>
          <w:sz w:val="24"/>
          <w:szCs w:val="24"/>
        </w:rPr>
        <w:t>EDLC'lere</w:t>
      </w:r>
      <w:proofErr w:type="spellEnd"/>
      <w:r w:rsidRPr="00C4705F">
        <w:rPr>
          <w:rFonts w:ascii="Calibri" w:hAnsi="Calibri" w:cs="Calibri"/>
          <w:sz w:val="24"/>
          <w:szCs w:val="24"/>
        </w:rPr>
        <w:t xml:space="preserve"> göre sınırlıdır.</w:t>
      </w:r>
    </w:p>
    <w:p w14:paraId="233F90D0" w14:textId="3C400517" w:rsidR="00360075" w:rsidRDefault="00837F07" w:rsidP="001F770C">
      <w:pPr>
        <w:pStyle w:val="ListeParagraf"/>
        <w:numPr>
          <w:ilvl w:val="0"/>
          <w:numId w:val="1"/>
        </w:numPr>
        <w:spacing w:after="0" w:line="360" w:lineRule="auto"/>
        <w:jc w:val="both"/>
        <w:rPr>
          <w:rFonts w:ascii="Calibri" w:hAnsi="Calibri" w:cs="Calibri"/>
          <w:sz w:val="24"/>
          <w:szCs w:val="24"/>
        </w:rPr>
      </w:pPr>
      <w:r w:rsidRPr="00C4705F">
        <w:rPr>
          <w:rFonts w:ascii="Calibri" w:hAnsi="Calibri" w:cs="Calibri"/>
          <w:sz w:val="24"/>
          <w:szCs w:val="24"/>
        </w:rPr>
        <w:t xml:space="preserve">Hibrit Süperkapasitörler: EDLC ve </w:t>
      </w:r>
      <w:proofErr w:type="spellStart"/>
      <w:r w:rsidRPr="00C4705F">
        <w:rPr>
          <w:rFonts w:ascii="Calibri" w:hAnsi="Calibri" w:cs="Calibri"/>
          <w:sz w:val="24"/>
          <w:szCs w:val="24"/>
        </w:rPr>
        <w:t>psödokapasitörlerin</w:t>
      </w:r>
      <w:proofErr w:type="spellEnd"/>
      <w:r w:rsidRPr="00C4705F">
        <w:rPr>
          <w:rFonts w:ascii="Calibri" w:hAnsi="Calibri" w:cs="Calibri"/>
          <w:sz w:val="24"/>
          <w:szCs w:val="24"/>
        </w:rPr>
        <w:t xml:space="preserve"> avantajlarını birleştirmeyi hedefleyen sistemlerdir. Asimetrik tasarımları ile geniş potansiyel penceresi ve yüksek enerji yoğunluğu sunarlar.</w:t>
      </w:r>
      <w:bookmarkStart w:id="1" w:name="_Toc160538950"/>
    </w:p>
    <w:p w14:paraId="2998A930" w14:textId="2230A944" w:rsidR="00360075" w:rsidRPr="00360075" w:rsidRDefault="00360075" w:rsidP="001F770C">
      <w:pPr>
        <w:spacing w:after="0" w:line="360" w:lineRule="auto"/>
        <w:jc w:val="both"/>
        <w:rPr>
          <w:rFonts w:ascii="Calibri" w:hAnsi="Calibri" w:cs="Calibri"/>
          <w:sz w:val="24"/>
          <w:szCs w:val="24"/>
        </w:rPr>
      </w:pPr>
      <w:r w:rsidRPr="00C516DD">
        <w:rPr>
          <w:rFonts w:ascii="Calibri" w:hAnsi="Calibri" w:cs="Calibri"/>
          <w:sz w:val="24"/>
          <w:szCs w:val="24"/>
        </w:rPr>
        <w:t>Tablo 1'de süperkapasitörlerin çeşitleri</w:t>
      </w:r>
      <w:r>
        <w:rPr>
          <w:rFonts w:ascii="Calibri" w:hAnsi="Calibri" w:cs="Calibri"/>
          <w:sz w:val="24"/>
          <w:szCs w:val="24"/>
        </w:rPr>
        <w:t xml:space="preserve">ne göre </w:t>
      </w:r>
      <w:r w:rsidRPr="00C516DD">
        <w:rPr>
          <w:rFonts w:ascii="Calibri" w:hAnsi="Calibri" w:cs="Calibri"/>
          <w:sz w:val="24"/>
          <w:szCs w:val="24"/>
        </w:rPr>
        <w:t>karşılaştırılmaları verilmektedir.</w:t>
      </w:r>
    </w:p>
    <w:p w14:paraId="5CC7E310" w14:textId="04E584FF" w:rsidR="00002D02" w:rsidRPr="00282140" w:rsidRDefault="00002D02" w:rsidP="001F770C">
      <w:pPr>
        <w:pStyle w:val="ResimYazs"/>
        <w:spacing w:before="0" w:after="0" w:line="360" w:lineRule="auto"/>
        <w:jc w:val="both"/>
        <w:rPr>
          <w:rFonts w:ascii="Calibri" w:hAnsi="Calibri" w:cs="Calibri"/>
          <w:szCs w:val="24"/>
        </w:rPr>
      </w:pPr>
      <w:r w:rsidRPr="00282140">
        <w:rPr>
          <w:rFonts w:ascii="Calibri" w:hAnsi="Calibri" w:cs="Calibri"/>
          <w:b/>
          <w:bCs/>
        </w:rPr>
        <w:lastRenderedPageBreak/>
        <w:t xml:space="preserve">Tablo </w:t>
      </w:r>
      <w:r w:rsidRPr="00282140">
        <w:rPr>
          <w:rFonts w:ascii="Calibri" w:hAnsi="Calibri" w:cs="Calibri"/>
          <w:b/>
          <w:bCs/>
        </w:rPr>
        <w:fldChar w:fldCharType="begin"/>
      </w:r>
      <w:r w:rsidRPr="00282140">
        <w:rPr>
          <w:rFonts w:ascii="Calibri" w:hAnsi="Calibri" w:cs="Calibri"/>
          <w:b/>
          <w:bCs/>
        </w:rPr>
        <w:instrText xml:space="preserve"> SEQ Tablo \* ARABIC </w:instrText>
      </w:r>
      <w:r w:rsidRPr="00282140">
        <w:rPr>
          <w:rFonts w:ascii="Calibri" w:hAnsi="Calibri" w:cs="Calibri"/>
          <w:b/>
          <w:bCs/>
        </w:rPr>
        <w:fldChar w:fldCharType="separate"/>
      </w:r>
      <w:r w:rsidRPr="00282140">
        <w:rPr>
          <w:rFonts w:ascii="Calibri" w:hAnsi="Calibri" w:cs="Calibri"/>
          <w:b/>
          <w:bCs/>
          <w:noProof/>
        </w:rPr>
        <w:t>1</w:t>
      </w:r>
      <w:r w:rsidRPr="00282140">
        <w:rPr>
          <w:rFonts w:ascii="Calibri" w:hAnsi="Calibri" w:cs="Calibri"/>
          <w:b/>
          <w:bCs/>
        </w:rPr>
        <w:fldChar w:fldCharType="end"/>
      </w:r>
      <w:r w:rsidRPr="00282140">
        <w:rPr>
          <w:rFonts w:ascii="Calibri" w:hAnsi="Calibri" w:cs="Calibri"/>
          <w:b/>
          <w:bCs/>
        </w:rPr>
        <w:t xml:space="preserve">. </w:t>
      </w:r>
      <w:r w:rsidRPr="00282140">
        <w:rPr>
          <w:rFonts w:ascii="Calibri" w:hAnsi="Calibri" w:cs="Calibri"/>
        </w:rPr>
        <w:t>Süperkapasitör Çeşitlerinin Karşılaştırı</w:t>
      </w:r>
      <w:bookmarkEnd w:id="1"/>
      <w:r w:rsidR="00C516DD" w:rsidRPr="00282140">
        <w:rPr>
          <w:rFonts w:ascii="Calibri" w:hAnsi="Calibri" w:cs="Calibri"/>
        </w:rPr>
        <w:t>lması.</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829"/>
        <w:gridCol w:w="2408"/>
        <w:gridCol w:w="3137"/>
        <w:gridCol w:w="1698"/>
      </w:tblGrid>
      <w:tr w:rsidR="00002D02" w:rsidRPr="00282140" w14:paraId="7948D67B" w14:textId="77777777" w:rsidTr="00367392">
        <w:trPr>
          <w:cantSplit/>
          <w:trHeight w:val="456"/>
          <w:tblHeader/>
        </w:trPr>
        <w:tc>
          <w:tcPr>
            <w:tcW w:w="1008" w:type="pct"/>
            <w:tcBorders>
              <w:left w:val="nil"/>
              <w:bottom w:val="single" w:sz="2" w:space="0" w:color="auto"/>
              <w:right w:val="nil"/>
            </w:tcBorders>
            <w:shd w:val="clear" w:color="auto" w:fill="FFFFFF"/>
            <w:vAlign w:val="center"/>
          </w:tcPr>
          <w:p w14:paraId="7B5ECEDA" w14:textId="77777777" w:rsidR="00002D02" w:rsidRPr="00282140" w:rsidRDefault="00002D02" w:rsidP="001F770C">
            <w:pPr>
              <w:autoSpaceDE w:val="0"/>
              <w:autoSpaceDN w:val="0"/>
              <w:adjustRightInd w:val="0"/>
              <w:spacing w:after="0" w:line="360" w:lineRule="auto"/>
              <w:jc w:val="both"/>
              <w:rPr>
                <w:rFonts w:ascii="Calibri" w:hAnsi="Calibri" w:cs="Calibri"/>
                <w:b/>
                <w:bCs/>
                <w:szCs w:val="24"/>
              </w:rPr>
            </w:pPr>
            <w:r w:rsidRPr="00282140">
              <w:rPr>
                <w:rFonts w:ascii="Calibri" w:hAnsi="Calibri" w:cs="Calibri"/>
                <w:b/>
                <w:bCs/>
                <w:szCs w:val="24"/>
              </w:rPr>
              <w:t>Süperkapasitör Tipi</w:t>
            </w:r>
          </w:p>
        </w:tc>
        <w:tc>
          <w:tcPr>
            <w:tcW w:w="1327" w:type="pct"/>
            <w:tcBorders>
              <w:left w:val="nil"/>
              <w:bottom w:val="single" w:sz="2" w:space="0" w:color="auto"/>
              <w:right w:val="nil"/>
            </w:tcBorders>
            <w:shd w:val="clear" w:color="auto" w:fill="FFFFFF"/>
            <w:vAlign w:val="center"/>
          </w:tcPr>
          <w:p w14:paraId="7F326C90" w14:textId="77777777" w:rsidR="00002D02" w:rsidRPr="00282140" w:rsidRDefault="00002D02" w:rsidP="001F770C">
            <w:pPr>
              <w:autoSpaceDE w:val="0"/>
              <w:autoSpaceDN w:val="0"/>
              <w:adjustRightInd w:val="0"/>
              <w:spacing w:after="0" w:line="360" w:lineRule="auto"/>
              <w:ind w:left="60" w:right="60" w:firstLine="231"/>
              <w:jc w:val="both"/>
              <w:rPr>
                <w:rFonts w:ascii="Calibri" w:hAnsi="Calibri" w:cs="Calibri"/>
                <w:b/>
                <w:bCs/>
                <w:szCs w:val="24"/>
              </w:rPr>
            </w:pPr>
            <w:r w:rsidRPr="00282140">
              <w:rPr>
                <w:rFonts w:ascii="Calibri" w:hAnsi="Calibri" w:cs="Calibri"/>
                <w:b/>
                <w:bCs/>
                <w:szCs w:val="24"/>
              </w:rPr>
              <w:t>Elektrot Malzemesi</w:t>
            </w:r>
          </w:p>
        </w:tc>
        <w:tc>
          <w:tcPr>
            <w:tcW w:w="1729" w:type="pct"/>
            <w:tcBorders>
              <w:left w:val="nil"/>
              <w:bottom w:val="single" w:sz="2" w:space="0" w:color="auto"/>
              <w:right w:val="nil"/>
            </w:tcBorders>
            <w:shd w:val="clear" w:color="auto" w:fill="FFFFFF"/>
            <w:vAlign w:val="center"/>
          </w:tcPr>
          <w:p w14:paraId="4C7BDBC1" w14:textId="77777777" w:rsidR="00002D02" w:rsidRPr="00282140" w:rsidRDefault="00002D02" w:rsidP="001F770C">
            <w:pPr>
              <w:autoSpaceDE w:val="0"/>
              <w:autoSpaceDN w:val="0"/>
              <w:adjustRightInd w:val="0"/>
              <w:spacing w:after="0" w:line="360" w:lineRule="auto"/>
              <w:ind w:left="60" w:right="60" w:hanging="60"/>
              <w:jc w:val="both"/>
              <w:rPr>
                <w:rFonts w:ascii="Calibri" w:hAnsi="Calibri" w:cs="Calibri"/>
                <w:b/>
                <w:bCs/>
                <w:szCs w:val="24"/>
              </w:rPr>
            </w:pPr>
            <w:r w:rsidRPr="00282140">
              <w:rPr>
                <w:rFonts w:ascii="Calibri" w:hAnsi="Calibri" w:cs="Calibri"/>
                <w:b/>
                <w:bCs/>
                <w:szCs w:val="24"/>
              </w:rPr>
              <w:t>Şarj Depolama Mekanizması</w:t>
            </w:r>
          </w:p>
        </w:tc>
        <w:tc>
          <w:tcPr>
            <w:tcW w:w="936" w:type="pct"/>
            <w:tcBorders>
              <w:left w:val="nil"/>
              <w:bottom w:val="single" w:sz="2" w:space="0" w:color="auto"/>
              <w:right w:val="nil"/>
            </w:tcBorders>
            <w:shd w:val="clear" w:color="auto" w:fill="FFFFFF"/>
            <w:vAlign w:val="center"/>
          </w:tcPr>
          <w:p w14:paraId="46AA564D" w14:textId="77777777" w:rsidR="00002D02" w:rsidRPr="00282140" w:rsidRDefault="00002D02" w:rsidP="001F770C">
            <w:pPr>
              <w:autoSpaceDE w:val="0"/>
              <w:autoSpaceDN w:val="0"/>
              <w:adjustRightInd w:val="0"/>
              <w:spacing w:after="0" w:line="360" w:lineRule="auto"/>
              <w:ind w:left="60" w:right="60"/>
              <w:jc w:val="both"/>
              <w:rPr>
                <w:rFonts w:ascii="Calibri" w:hAnsi="Calibri" w:cs="Calibri"/>
                <w:b/>
                <w:bCs/>
                <w:szCs w:val="24"/>
              </w:rPr>
            </w:pPr>
            <w:r w:rsidRPr="00282140">
              <w:rPr>
                <w:rFonts w:ascii="Calibri" w:hAnsi="Calibri" w:cs="Calibri"/>
                <w:b/>
                <w:bCs/>
                <w:szCs w:val="24"/>
              </w:rPr>
              <w:t>Avantajlar/</w:t>
            </w:r>
          </w:p>
          <w:p w14:paraId="0FBDA3FD" w14:textId="77777777" w:rsidR="00002D02" w:rsidRPr="00282140" w:rsidRDefault="00002D02" w:rsidP="001F770C">
            <w:pPr>
              <w:autoSpaceDE w:val="0"/>
              <w:autoSpaceDN w:val="0"/>
              <w:adjustRightInd w:val="0"/>
              <w:spacing w:after="0" w:line="360" w:lineRule="auto"/>
              <w:ind w:left="60" w:right="60"/>
              <w:jc w:val="both"/>
              <w:rPr>
                <w:rFonts w:ascii="Calibri" w:hAnsi="Calibri" w:cs="Calibri"/>
                <w:b/>
                <w:bCs/>
                <w:szCs w:val="24"/>
              </w:rPr>
            </w:pPr>
            <w:r w:rsidRPr="00282140">
              <w:rPr>
                <w:rFonts w:ascii="Calibri" w:hAnsi="Calibri" w:cs="Calibri"/>
                <w:b/>
                <w:bCs/>
                <w:szCs w:val="24"/>
              </w:rPr>
              <w:t>Eksiklikler</w:t>
            </w:r>
          </w:p>
        </w:tc>
      </w:tr>
      <w:tr w:rsidR="00002D02" w:rsidRPr="00282140" w14:paraId="20186D8F" w14:textId="77777777" w:rsidTr="00367392">
        <w:trPr>
          <w:cantSplit/>
          <w:trHeight w:val="199"/>
          <w:tblHeader/>
        </w:trPr>
        <w:tc>
          <w:tcPr>
            <w:tcW w:w="1008" w:type="pct"/>
            <w:tcBorders>
              <w:left w:val="nil"/>
              <w:bottom w:val="single" w:sz="2" w:space="0" w:color="auto"/>
              <w:right w:val="nil"/>
            </w:tcBorders>
            <w:shd w:val="clear" w:color="auto" w:fill="FFFFFF"/>
            <w:vAlign w:val="center"/>
          </w:tcPr>
          <w:p w14:paraId="7A592803" w14:textId="78D2535F" w:rsidR="00002D02" w:rsidRPr="00282140" w:rsidRDefault="008D5FE1" w:rsidP="001F770C">
            <w:pPr>
              <w:autoSpaceDE w:val="0"/>
              <w:autoSpaceDN w:val="0"/>
              <w:adjustRightInd w:val="0"/>
              <w:spacing w:after="0" w:line="360" w:lineRule="auto"/>
              <w:ind w:left="62" w:right="62" w:hanging="60"/>
              <w:jc w:val="both"/>
              <w:rPr>
                <w:rFonts w:ascii="Calibri" w:hAnsi="Calibri" w:cs="Calibri"/>
                <w:szCs w:val="24"/>
              </w:rPr>
            </w:pPr>
            <w:r>
              <w:rPr>
                <w:rFonts w:ascii="Calibri" w:hAnsi="Calibri" w:cs="Calibri"/>
                <w:color w:val="00B0F0"/>
                <w:szCs w:val="24"/>
              </w:rPr>
              <w:t>EDLC</w:t>
            </w:r>
          </w:p>
        </w:tc>
        <w:tc>
          <w:tcPr>
            <w:tcW w:w="1327" w:type="pct"/>
            <w:tcBorders>
              <w:left w:val="nil"/>
              <w:bottom w:val="single" w:sz="2" w:space="0" w:color="auto"/>
              <w:right w:val="nil"/>
            </w:tcBorders>
            <w:shd w:val="clear" w:color="auto" w:fill="FFFFFF"/>
            <w:vAlign w:val="center"/>
          </w:tcPr>
          <w:p w14:paraId="4960FAB1"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Karbon Materyaller</w:t>
            </w:r>
          </w:p>
        </w:tc>
        <w:tc>
          <w:tcPr>
            <w:tcW w:w="1729" w:type="pct"/>
            <w:tcBorders>
              <w:left w:val="nil"/>
              <w:bottom w:val="single" w:sz="2" w:space="0" w:color="auto"/>
              <w:right w:val="nil"/>
            </w:tcBorders>
            <w:shd w:val="clear" w:color="auto" w:fill="FFFFFF"/>
            <w:vAlign w:val="center"/>
          </w:tcPr>
          <w:p w14:paraId="287E3F07"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 xml:space="preserve">Elektrik çift katmanlı (EDL), </w:t>
            </w:r>
          </w:p>
          <w:p w14:paraId="0E44CA82"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Faradayik olmayan süreç</w:t>
            </w:r>
          </w:p>
        </w:tc>
        <w:tc>
          <w:tcPr>
            <w:tcW w:w="936" w:type="pct"/>
            <w:tcBorders>
              <w:left w:val="nil"/>
              <w:bottom w:val="single" w:sz="2" w:space="0" w:color="auto"/>
              <w:right w:val="nil"/>
            </w:tcBorders>
            <w:shd w:val="clear" w:color="auto" w:fill="FFFFFF"/>
            <w:vAlign w:val="center"/>
          </w:tcPr>
          <w:p w14:paraId="0019A456"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Düşük spesifik kapasitans Yüksek güç yoğunluğu</w:t>
            </w:r>
          </w:p>
          <w:p w14:paraId="72C2392D"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döngü kararlılığı</w:t>
            </w:r>
          </w:p>
        </w:tc>
      </w:tr>
      <w:tr w:rsidR="00002D02" w:rsidRPr="00282140" w14:paraId="1A31D77F" w14:textId="77777777" w:rsidTr="00367392">
        <w:trPr>
          <w:cantSplit/>
          <w:trHeight w:val="199"/>
          <w:tblHeader/>
        </w:trPr>
        <w:tc>
          <w:tcPr>
            <w:tcW w:w="1008" w:type="pct"/>
            <w:tcBorders>
              <w:top w:val="single" w:sz="2" w:space="0" w:color="auto"/>
              <w:left w:val="nil"/>
              <w:bottom w:val="single" w:sz="2" w:space="0" w:color="auto"/>
              <w:right w:val="nil"/>
            </w:tcBorders>
            <w:shd w:val="clear" w:color="auto" w:fill="FFFFFF"/>
            <w:vAlign w:val="center"/>
          </w:tcPr>
          <w:p w14:paraId="642FD1F3"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color w:val="C00000"/>
                <w:szCs w:val="24"/>
              </w:rPr>
            </w:pPr>
            <w:r w:rsidRPr="00282140">
              <w:rPr>
                <w:rFonts w:ascii="Calibri" w:hAnsi="Calibri" w:cs="Calibri"/>
                <w:color w:val="C00000"/>
                <w:szCs w:val="24"/>
              </w:rPr>
              <w:t>Psödokapasitör</w:t>
            </w:r>
          </w:p>
          <w:p w14:paraId="199650AA" w14:textId="77777777" w:rsidR="00002D02" w:rsidRPr="00282140" w:rsidRDefault="00002D02" w:rsidP="001F770C">
            <w:pPr>
              <w:autoSpaceDE w:val="0"/>
              <w:autoSpaceDN w:val="0"/>
              <w:adjustRightInd w:val="0"/>
              <w:spacing w:after="0" w:line="360" w:lineRule="auto"/>
              <w:ind w:left="62" w:right="62"/>
              <w:jc w:val="both"/>
              <w:rPr>
                <w:rFonts w:ascii="Calibri" w:hAnsi="Calibri" w:cs="Calibri"/>
                <w:szCs w:val="24"/>
              </w:rPr>
            </w:pPr>
          </w:p>
        </w:tc>
        <w:tc>
          <w:tcPr>
            <w:tcW w:w="1327" w:type="pct"/>
            <w:tcBorders>
              <w:top w:val="single" w:sz="2" w:space="0" w:color="auto"/>
              <w:left w:val="nil"/>
              <w:bottom w:val="single" w:sz="2" w:space="0" w:color="auto"/>
              <w:right w:val="nil"/>
            </w:tcBorders>
            <w:shd w:val="clear" w:color="auto" w:fill="FFFFFF"/>
            <w:vAlign w:val="center"/>
          </w:tcPr>
          <w:p w14:paraId="36A14720"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Metal Oksit/Hidroksit/Sülfür, İletken Polimerler</w:t>
            </w:r>
          </w:p>
        </w:tc>
        <w:tc>
          <w:tcPr>
            <w:tcW w:w="1729" w:type="pct"/>
            <w:tcBorders>
              <w:top w:val="single" w:sz="2" w:space="0" w:color="auto"/>
              <w:left w:val="nil"/>
              <w:bottom w:val="single" w:sz="2" w:space="0" w:color="auto"/>
              <w:right w:val="nil"/>
            </w:tcBorders>
            <w:shd w:val="clear" w:color="auto" w:fill="FFFFFF"/>
            <w:vAlign w:val="center"/>
          </w:tcPr>
          <w:p w14:paraId="64326765"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 xml:space="preserve">Redoks reaksiyonu, </w:t>
            </w:r>
          </w:p>
          <w:p w14:paraId="7CB5868C"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Faradayik süreç</w:t>
            </w:r>
          </w:p>
        </w:tc>
        <w:tc>
          <w:tcPr>
            <w:tcW w:w="936" w:type="pct"/>
            <w:tcBorders>
              <w:top w:val="single" w:sz="2" w:space="0" w:color="auto"/>
              <w:left w:val="nil"/>
              <w:bottom w:val="single" w:sz="2" w:space="0" w:color="auto"/>
              <w:right w:val="nil"/>
            </w:tcBorders>
            <w:shd w:val="clear" w:color="auto" w:fill="FFFFFF"/>
            <w:vAlign w:val="center"/>
          </w:tcPr>
          <w:p w14:paraId="5AF7A889"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spesifik kapasitans</w:t>
            </w:r>
          </w:p>
          <w:p w14:paraId="6A097D63"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Orta güç yoğunluğu</w:t>
            </w:r>
          </w:p>
          <w:p w14:paraId="091C3535"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Düşük döngü kararlılığı</w:t>
            </w:r>
          </w:p>
        </w:tc>
      </w:tr>
      <w:tr w:rsidR="00002D02" w:rsidRPr="00282140" w14:paraId="6C721693" w14:textId="77777777" w:rsidTr="00367392">
        <w:trPr>
          <w:cantSplit/>
          <w:trHeight w:val="770"/>
        </w:trPr>
        <w:tc>
          <w:tcPr>
            <w:tcW w:w="1008" w:type="pct"/>
            <w:tcBorders>
              <w:top w:val="single" w:sz="2" w:space="0" w:color="auto"/>
              <w:left w:val="nil"/>
              <w:bottom w:val="single" w:sz="2" w:space="0" w:color="auto"/>
              <w:right w:val="nil"/>
            </w:tcBorders>
            <w:shd w:val="clear" w:color="auto" w:fill="FFFFFF"/>
            <w:vAlign w:val="center"/>
          </w:tcPr>
          <w:p w14:paraId="0524E12E" w14:textId="77777777" w:rsidR="00002D02" w:rsidRPr="00282140" w:rsidRDefault="00002D02" w:rsidP="001F770C">
            <w:pPr>
              <w:autoSpaceDE w:val="0"/>
              <w:autoSpaceDN w:val="0"/>
              <w:adjustRightInd w:val="0"/>
              <w:spacing w:after="0" w:line="360" w:lineRule="auto"/>
              <w:ind w:left="62" w:right="62"/>
              <w:jc w:val="both"/>
              <w:rPr>
                <w:rFonts w:ascii="Calibri" w:hAnsi="Calibri" w:cs="Calibri"/>
                <w:szCs w:val="24"/>
              </w:rPr>
            </w:pPr>
            <w:r w:rsidRPr="00282140">
              <w:rPr>
                <w:rFonts w:ascii="Calibri" w:hAnsi="Calibri" w:cs="Calibri"/>
                <w:color w:val="7030A0"/>
                <w:szCs w:val="24"/>
              </w:rPr>
              <w:t>Hibrit kapasitör</w:t>
            </w:r>
          </w:p>
        </w:tc>
        <w:tc>
          <w:tcPr>
            <w:tcW w:w="1327" w:type="pct"/>
            <w:tcBorders>
              <w:top w:val="single" w:sz="2" w:space="0" w:color="auto"/>
              <w:left w:val="nil"/>
              <w:bottom w:val="single" w:sz="2" w:space="0" w:color="auto"/>
              <w:right w:val="nil"/>
            </w:tcBorders>
            <w:shd w:val="clear" w:color="auto" w:fill="FFFFFF"/>
            <w:vAlign w:val="center"/>
          </w:tcPr>
          <w:p w14:paraId="72DF6478"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Metal Oksit/Hidroksit/Sülfür, İletken Polimerler/Karbon Materyaller</w:t>
            </w:r>
          </w:p>
        </w:tc>
        <w:tc>
          <w:tcPr>
            <w:tcW w:w="1729" w:type="pct"/>
            <w:tcBorders>
              <w:top w:val="single" w:sz="2" w:space="0" w:color="auto"/>
              <w:left w:val="nil"/>
              <w:bottom w:val="single" w:sz="2" w:space="0" w:color="auto"/>
              <w:right w:val="nil"/>
            </w:tcBorders>
            <w:shd w:val="clear" w:color="auto" w:fill="FFFFFF"/>
            <w:vAlign w:val="center"/>
          </w:tcPr>
          <w:p w14:paraId="7F1E49B9"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 xml:space="preserve">Asimetrik Hibrit: </w:t>
            </w:r>
          </w:p>
          <w:p w14:paraId="47FF4168"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Anot: Redoks reaksiyonu, Katot: EDL</w:t>
            </w:r>
          </w:p>
          <w:p w14:paraId="267D0EB8" w14:textId="77777777" w:rsidR="00002D02" w:rsidRPr="00282140" w:rsidRDefault="00002D02" w:rsidP="001F770C">
            <w:pPr>
              <w:autoSpaceDE w:val="0"/>
              <w:autoSpaceDN w:val="0"/>
              <w:adjustRightInd w:val="0"/>
              <w:spacing w:after="0" w:line="360" w:lineRule="auto"/>
              <w:ind w:right="62"/>
              <w:jc w:val="both"/>
              <w:rPr>
                <w:rFonts w:ascii="Calibri" w:hAnsi="Calibri" w:cs="Calibri"/>
                <w:szCs w:val="24"/>
              </w:rPr>
            </w:pPr>
          </w:p>
          <w:p w14:paraId="26AA7DD0" w14:textId="77777777" w:rsidR="00002D02" w:rsidRPr="00282140" w:rsidRDefault="00002D02" w:rsidP="001F770C">
            <w:pPr>
              <w:autoSpaceDE w:val="0"/>
              <w:autoSpaceDN w:val="0"/>
              <w:adjustRightInd w:val="0"/>
              <w:spacing w:after="0" w:line="360" w:lineRule="auto"/>
              <w:ind w:right="62"/>
              <w:jc w:val="both"/>
              <w:rPr>
                <w:rFonts w:ascii="Calibri" w:hAnsi="Calibri" w:cs="Calibri"/>
                <w:szCs w:val="24"/>
              </w:rPr>
            </w:pPr>
          </w:p>
          <w:p w14:paraId="75A96DA6" w14:textId="77777777" w:rsidR="00002D02" w:rsidRPr="00282140" w:rsidRDefault="00002D02" w:rsidP="001F770C">
            <w:pPr>
              <w:autoSpaceDE w:val="0"/>
              <w:autoSpaceDN w:val="0"/>
              <w:adjustRightInd w:val="0"/>
              <w:spacing w:after="0" w:line="360" w:lineRule="auto"/>
              <w:ind w:right="62"/>
              <w:jc w:val="both"/>
              <w:rPr>
                <w:rFonts w:ascii="Calibri" w:hAnsi="Calibri" w:cs="Calibri"/>
                <w:szCs w:val="24"/>
              </w:rPr>
            </w:pPr>
          </w:p>
          <w:p w14:paraId="7FE07861" w14:textId="77777777" w:rsidR="00002D02" w:rsidRPr="00282140" w:rsidRDefault="00002D02" w:rsidP="001F770C">
            <w:pPr>
              <w:autoSpaceDE w:val="0"/>
              <w:autoSpaceDN w:val="0"/>
              <w:adjustRightInd w:val="0"/>
              <w:spacing w:after="0" w:line="360" w:lineRule="auto"/>
              <w:ind w:right="62"/>
              <w:jc w:val="both"/>
              <w:rPr>
                <w:rFonts w:ascii="Calibri" w:hAnsi="Calibri" w:cs="Calibri"/>
                <w:szCs w:val="24"/>
              </w:rPr>
            </w:pPr>
          </w:p>
          <w:p w14:paraId="617723D6"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Simetrik kompozit hibrit:</w:t>
            </w:r>
          </w:p>
          <w:p w14:paraId="32A6B9A9"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Redoks reaksiyonu ve EDL</w:t>
            </w:r>
          </w:p>
          <w:p w14:paraId="412D57F8"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p>
          <w:p w14:paraId="03949B31"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p>
          <w:p w14:paraId="77124EF6" w14:textId="77777777" w:rsidR="00002D02" w:rsidRPr="00282140" w:rsidRDefault="00002D02" w:rsidP="001F770C">
            <w:pPr>
              <w:autoSpaceDE w:val="0"/>
              <w:autoSpaceDN w:val="0"/>
              <w:adjustRightInd w:val="0"/>
              <w:spacing w:after="0" w:line="360" w:lineRule="auto"/>
              <w:ind w:right="62"/>
              <w:jc w:val="both"/>
              <w:rPr>
                <w:rFonts w:ascii="Calibri" w:hAnsi="Calibri" w:cs="Calibri"/>
                <w:szCs w:val="24"/>
              </w:rPr>
            </w:pPr>
          </w:p>
          <w:p w14:paraId="146C1AFF"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p>
          <w:p w14:paraId="12546435"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Batarya Benzeri Hibrit:</w:t>
            </w:r>
          </w:p>
          <w:p w14:paraId="4A95083D"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szCs w:val="24"/>
              </w:rPr>
            </w:pPr>
            <w:r w:rsidRPr="00282140">
              <w:rPr>
                <w:rFonts w:ascii="Calibri" w:hAnsi="Calibri" w:cs="Calibri"/>
                <w:szCs w:val="24"/>
              </w:rPr>
              <w:t>Anot: Litiasyon/Delitiasyon, Katot: EDL</w:t>
            </w:r>
          </w:p>
        </w:tc>
        <w:tc>
          <w:tcPr>
            <w:tcW w:w="936" w:type="pct"/>
            <w:tcBorders>
              <w:top w:val="single" w:sz="2" w:space="0" w:color="auto"/>
              <w:left w:val="nil"/>
              <w:bottom w:val="single" w:sz="2" w:space="0" w:color="auto"/>
              <w:right w:val="nil"/>
            </w:tcBorders>
            <w:shd w:val="clear" w:color="auto" w:fill="FFFFFF"/>
            <w:vAlign w:val="center"/>
          </w:tcPr>
          <w:p w14:paraId="5269F4D6"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spesifik kapasitans</w:t>
            </w:r>
          </w:p>
          <w:p w14:paraId="45E28611"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güç yoğunluğu</w:t>
            </w:r>
          </w:p>
          <w:p w14:paraId="1E3E093A"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Orta döngü kararlılığı</w:t>
            </w:r>
          </w:p>
          <w:p w14:paraId="4CF4C1BF"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p>
          <w:p w14:paraId="64B9A7C2"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spesifik kapasitans</w:t>
            </w:r>
          </w:p>
          <w:p w14:paraId="4165A27B"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Orta güç yoğunluğu</w:t>
            </w:r>
          </w:p>
          <w:p w14:paraId="73171CD3"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döngü kararlılığı</w:t>
            </w:r>
          </w:p>
          <w:p w14:paraId="58B9CA2E"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p>
          <w:p w14:paraId="6A8E268B"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spesifik kapasitans</w:t>
            </w:r>
          </w:p>
          <w:p w14:paraId="6A69888C"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 xml:space="preserve">Orta döngü kararlılığı </w:t>
            </w:r>
          </w:p>
          <w:p w14:paraId="6DA84BD5" w14:textId="77777777" w:rsidR="00002D02" w:rsidRPr="00282140" w:rsidRDefault="00002D02" w:rsidP="001F770C">
            <w:pPr>
              <w:autoSpaceDE w:val="0"/>
              <w:autoSpaceDN w:val="0"/>
              <w:adjustRightInd w:val="0"/>
              <w:spacing w:after="0" w:line="360" w:lineRule="auto"/>
              <w:ind w:left="62" w:right="62" w:hanging="60"/>
              <w:jc w:val="both"/>
              <w:rPr>
                <w:rFonts w:ascii="Calibri" w:hAnsi="Calibri" w:cs="Calibri"/>
                <w:i/>
                <w:iCs/>
                <w:szCs w:val="24"/>
              </w:rPr>
            </w:pPr>
            <w:r w:rsidRPr="00282140">
              <w:rPr>
                <w:rFonts w:ascii="Calibri" w:hAnsi="Calibri" w:cs="Calibri"/>
                <w:i/>
                <w:iCs/>
                <w:szCs w:val="24"/>
              </w:rPr>
              <w:t>Yüksek maliyet</w:t>
            </w:r>
          </w:p>
        </w:tc>
      </w:tr>
    </w:tbl>
    <w:p w14:paraId="5B857302" w14:textId="42E4A086" w:rsidR="00FC0A03" w:rsidRDefault="00FC0A03" w:rsidP="001F770C">
      <w:pPr>
        <w:spacing w:after="0" w:line="360" w:lineRule="auto"/>
        <w:jc w:val="both"/>
        <w:rPr>
          <w:rFonts w:ascii="Calibri" w:hAnsi="Calibri" w:cs="Calibri"/>
          <w:b/>
          <w:bCs/>
          <w:sz w:val="24"/>
          <w:szCs w:val="24"/>
        </w:rPr>
      </w:pPr>
      <w:r>
        <w:rPr>
          <w:rFonts w:ascii="Calibri" w:hAnsi="Calibri" w:cs="Calibri"/>
          <w:b/>
          <w:bCs/>
          <w:sz w:val="24"/>
          <w:szCs w:val="24"/>
        </w:rPr>
        <w:lastRenderedPageBreak/>
        <w:t>Süperkapasitörlerin Çalışma Prensibi</w:t>
      </w:r>
    </w:p>
    <w:p w14:paraId="50574714" w14:textId="3DF18B5F" w:rsidR="001F770C" w:rsidRPr="001F770C" w:rsidRDefault="001F770C" w:rsidP="001F770C">
      <w:pPr>
        <w:spacing w:after="0" w:line="360" w:lineRule="auto"/>
        <w:jc w:val="both"/>
        <w:rPr>
          <w:rFonts w:ascii="Calibri" w:hAnsi="Calibri" w:cs="Calibri"/>
          <w:sz w:val="24"/>
          <w:szCs w:val="24"/>
        </w:rPr>
      </w:pPr>
      <w:r w:rsidRPr="001F770C">
        <w:rPr>
          <w:rFonts w:ascii="Calibri" w:hAnsi="Calibri" w:cs="Calibri"/>
          <w:sz w:val="24"/>
          <w:szCs w:val="24"/>
        </w:rPr>
        <w:t>Süperkapasitörlerin çeşitlerine bağlı olarak enerji depolama mekanizmaları belirgin şekilde farklılık göstermektedir (Şekil 2). Elektrik çift katmanlı kapasitörlerde (EDLC), enerji depolama süreci elektrot-elektrolit arayüzeyinde gerçekleşen iyonik yük birikimine dayanır. Dış elektrik alan etkisiyle elektrolit içerisindeki katyon ve anyonlar, elektrot yüzeyine elektrostatik kuvvetlerle yönelerek çift katman oluşturur. Bu süreç yalnızca fiziksel adsorpsiyonla sınırlı olduğundan elektrot yapısında kimyasal bir değişim meydana gelmez. Bu sayede EDLC’ler yüksek döngü ömrü ve uzun kullanım süresi sunar. Ancak, enerji depolama yalnızca yüzey etkileşimleri ile gerçekleştiği için kapasiteleri görece düşüktür.</w:t>
      </w:r>
    </w:p>
    <w:p w14:paraId="47286F69" w14:textId="767C9BA4" w:rsidR="001F770C" w:rsidRPr="001F770C" w:rsidRDefault="001F770C" w:rsidP="001F770C">
      <w:pPr>
        <w:spacing w:after="0" w:line="360" w:lineRule="auto"/>
        <w:jc w:val="both"/>
        <w:rPr>
          <w:rFonts w:ascii="Calibri" w:hAnsi="Calibri" w:cs="Calibri"/>
          <w:sz w:val="24"/>
          <w:szCs w:val="24"/>
        </w:rPr>
      </w:pPr>
      <w:r w:rsidRPr="001F770C">
        <w:rPr>
          <w:rFonts w:ascii="Calibri" w:hAnsi="Calibri" w:cs="Calibri"/>
          <w:sz w:val="24"/>
          <w:szCs w:val="24"/>
        </w:rPr>
        <w:t xml:space="preserve">Buna karşın, </w:t>
      </w:r>
      <w:proofErr w:type="spellStart"/>
      <w:r w:rsidRPr="001F770C">
        <w:rPr>
          <w:rFonts w:ascii="Calibri" w:hAnsi="Calibri" w:cs="Calibri"/>
          <w:sz w:val="24"/>
          <w:szCs w:val="24"/>
        </w:rPr>
        <w:t>psödokapasitörler</w:t>
      </w:r>
      <w:proofErr w:type="spellEnd"/>
      <w:r w:rsidRPr="001F770C">
        <w:rPr>
          <w:rFonts w:ascii="Calibri" w:hAnsi="Calibri" w:cs="Calibri"/>
          <w:sz w:val="24"/>
          <w:szCs w:val="24"/>
        </w:rPr>
        <w:t xml:space="preserve"> enerji depolamayı elektrot yüzeyinde gerçekleşen tersinir redoks reaksiyonları ve iyon adsorpsiyon/</w:t>
      </w:r>
      <w:proofErr w:type="spellStart"/>
      <w:r w:rsidRPr="001F770C">
        <w:rPr>
          <w:rFonts w:ascii="Calibri" w:hAnsi="Calibri" w:cs="Calibri"/>
          <w:sz w:val="24"/>
          <w:szCs w:val="24"/>
        </w:rPr>
        <w:t>desorpsiyon</w:t>
      </w:r>
      <w:proofErr w:type="spellEnd"/>
      <w:r w:rsidRPr="001F770C">
        <w:rPr>
          <w:rFonts w:ascii="Calibri" w:hAnsi="Calibri" w:cs="Calibri"/>
          <w:sz w:val="24"/>
          <w:szCs w:val="24"/>
        </w:rPr>
        <w:t xml:space="preserve"> süreçleri aracılığıyla gerçekleştirir. Bu mekanizma sayesinde daha yüksek spesifik kapasiteler elde edilebilir. Geçiş metal oksitleri, hidroksitler ve sülfürler gibi aktif malzemeler bu tür kapasitörlerde yaygın olarak kullanılır. Ancak redoks reaksiyonlarına eşlik eden iyon giriş/çıkışı, elektrot malzemelerinde hacimsel genleşme ve yapısal bozulmalara yol açabilir. Bu da zamanla kapasite kaybına ve döngü kararlılığının azalmasına neden olur.</w:t>
      </w:r>
    </w:p>
    <w:p w14:paraId="4DB4F1F3" w14:textId="77777777" w:rsidR="001F770C" w:rsidRDefault="001F770C" w:rsidP="001F770C">
      <w:pPr>
        <w:spacing w:after="0" w:line="360" w:lineRule="auto"/>
        <w:jc w:val="both"/>
        <w:rPr>
          <w:rFonts w:ascii="Calibri" w:hAnsi="Calibri" w:cs="Calibri"/>
          <w:sz w:val="24"/>
          <w:szCs w:val="24"/>
        </w:rPr>
      </w:pPr>
      <w:r w:rsidRPr="001F770C">
        <w:rPr>
          <w:rFonts w:ascii="Calibri" w:hAnsi="Calibri" w:cs="Calibri"/>
          <w:sz w:val="24"/>
          <w:szCs w:val="24"/>
        </w:rPr>
        <w:t>Hibrit süperkapasitörler ise EDLC ve psödokapasitif yapıların avantajlarını bir araya getirerek hem yüksek enerji yoğunluğu hem de uzun döngü ömrü sunmayı hedefler. Bu yapılarda genellikle bir elektrot hızlı ve kararlı fiziksel süreçlerden (EDLC), diğer elektrot ise yüksek kapasiteli kimyasal süreçlerden (psödokapasitör) sorumludur. Böylece, cihazın çalışma gerilim aralığı genişletilerek enerji yoğunluğu artırılır. Ancak iki farklı elektrot malzemesinin reaksiyon kinetikleri ve iyon taşınım hızlarının uyumsuz olması durumunda, cihazın genel performansı</w:t>
      </w:r>
      <w:r>
        <w:rPr>
          <w:rFonts w:ascii="Calibri" w:hAnsi="Calibri" w:cs="Calibri"/>
          <w:sz w:val="24"/>
          <w:szCs w:val="24"/>
        </w:rPr>
        <w:t xml:space="preserve"> </w:t>
      </w:r>
      <w:r w:rsidRPr="001F770C">
        <w:rPr>
          <w:rFonts w:ascii="Calibri" w:hAnsi="Calibri" w:cs="Calibri"/>
          <w:sz w:val="24"/>
          <w:szCs w:val="24"/>
        </w:rPr>
        <w:t>sınırlı kalabilmektedir.</w:t>
      </w:r>
    </w:p>
    <w:p w14:paraId="0B76DA30" w14:textId="61888721" w:rsidR="00FC0A03" w:rsidRDefault="00011DCE" w:rsidP="001F770C">
      <w:pPr>
        <w:spacing w:after="0" w:line="360" w:lineRule="auto"/>
        <w:jc w:val="both"/>
        <w:rPr>
          <w:rFonts w:ascii="Calibri" w:hAnsi="Calibri" w:cs="Calibri"/>
          <w:b/>
          <w:bCs/>
          <w:sz w:val="24"/>
          <w:szCs w:val="24"/>
        </w:rPr>
      </w:pPr>
      <w:r>
        <w:rPr>
          <w:rFonts w:ascii="Calibri" w:hAnsi="Calibri" w:cs="Calibri"/>
          <w:b/>
          <w:bCs/>
          <w:noProof/>
          <w:sz w:val="24"/>
          <w:szCs w:val="24"/>
        </w:rPr>
        <w:lastRenderedPageBreak/>
        <w:drawing>
          <wp:inline distT="0" distB="0" distL="0" distR="0" wp14:anchorId="422B69DB" wp14:editId="32575104">
            <wp:extent cx="5753100" cy="3019425"/>
            <wp:effectExtent l="0" t="0" r="0" b="9525"/>
            <wp:docPr id="15068538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14:paraId="4F24E8B4" w14:textId="3619B2B9" w:rsidR="00FC1257" w:rsidRPr="00011DCE" w:rsidRDefault="00011DCE" w:rsidP="001F770C">
      <w:pPr>
        <w:spacing w:after="0" w:line="360" w:lineRule="auto"/>
        <w:jc w:val="both"/>
        <w:rPr>
          <w:rFonts w:ascii="Calibri" w:hAnsi="Calibri" w:cs="Calibri"/>
          <w:sz w:val="24"/>
          <w:szCs w:val="24"/>
        </w:rPr>
      </w:pPr>
      <w:r>
        <w:rPr>
          <w:rFonts w:ascii="Calibri" w:hAnsi="Calibri" w:cs="Calibri"/>
          <w:sz w:val="24"/>
          <w:szCs w:val="24"/>
        </w:rPr>
        <w:t xml:space="preserve">Şekil </w:t>
      </w:r>
      <w:r w:rsidR="004D122E">
        <w:rPr>
          <w:rFonts w:ascii="Calibri" w:hAnsi="Calibri" w:cs="Calibri"/>
          <w:sz w:val="24"/>
          <w:szCs w:val="24"/>
        </w:rPr>
        <w:t>2</w:t>
      </w:r>
      <w:r>
        <w:rPr>
          <w:rFonts w:ascii="Calibri" w:hAnsi="Calibri" w:cs="Calibri"/>
          <w:sz w:val="24"/>
          <w:szCs w:val="24"/>
        </w:rPr>
        <w:t xml:space="preserve">. </w:t>
      </w:r>
      <w:r w:rsidRPr="00011DCE">
        <w:rPr>
          <w:rFonts w:ascii="Calibri" w:hAnsi="Calibri" w:cs="Calibri"/>
          <w:sz w:val="24"/>
          <w:szCs w:val="24"/>
        </w:rPr>
        <w:t>Farklı tipteki süperkapasitörlerin enerji depolama mekanizma</w:t>
      </w:r>
      <w:r w:rsidR="004D122E">
        <w:rPr>
          <w:rFonts w:ascii="Calibri" w:hAnsi="Calibri" w:cs="Calibri"/>
          <w:sz w:val="24"/>
          <w:szCs w:val="24"/>
        </w:rPr>
        <w:t>ları.</w:t>
      </w:r>
    </w:p>
    <w:p w14:paraId="2ADDCD0E" w14:textId="65F0A20B" w:rsidR="00C4705F" w:rsidRDefault="00C4705F" w:rsidP="001F770C">
      <w:pPr>
        <w:spacing w:after="0" w:line="360" w:lineRule="auto"/>
        <w:jc w:val="both"/>
        <w:rPr>
          <w:rFonts w:ascii="Calibri" w:hAnsi="Calibri" w:cs="Calibri"/>
          <w:b/>
          <w:bCs/>
          <w:sz w:val="24"/>
          <w:szCs w:val="24"/>
        </w:rPr>
      </w:pPr>
      <w:r w:rsidRPr="00C4705F">
        <w:rPr>
          <w:rFonts w:ascii="Calibri" w:hAnsi="Calibri" w:cs="Calibri"/>
          <w:b/>
          <w:bCs/>
          <w:sz w:val="24"/>
          <w:szCs w:val="24"/>
        </w:rPr>
        <w:t>Süperkapasitörlerin Kullanım Alanları</w:t>
      </w:r>
    </w:p>
    <w:p w14:paraId="19598FCA" w14:textId="32DCEFFE" w:rsidR="0024533F" w:rsidRDefault="00C4705F" w:rsidP="0024533F">
      <w:pPr>
        <w:spacing w:after="0" w:line="360" w:lineRule="auto"/>
        <w:jc w:val="both"/>
        <w:rPr>
          <w:rFonts w:ascii="Calibri" w:hAnsi="Calibri" w:cs="Calibri"/>
          <w:sz w:val="24"/>
          <w:szCs w:val="24"/>
        </w:rPr>
      </w:pPr>
      <w:r w:rsidRPr="00C4705F">
        <w:rPr>
          <w:rFonts w:ascii="Calibri" w:hAnsi="Calibri" w:cs="Calibri"/>
          <w:sz w:val="24"/>
          <w:szCs w:val="24"/>
        </w:rPr>
        <w:t xml:space="preserve">Günümüzde artan enerji ihtiyacı ve sürdürülebilirlik hedefleri doğrultusunda, yenilenebilir enerji kaynaklarının etkin kullanımı ve bu enerjinin verimli bir şekilde depolanması büyük önem taşımaktadır. Rüzgâr, güneş, hidroelektrik, okyanus, biyokütle ve jeotermal gibi çevre dostu enerji kaynakları ile </w:t>
      </w:r>
      <w:proofErr w:type="gramStart"/>
      <w:r w:rsidRPr="00C4705F">
        <w:rPr>
          <w:rFonts w:ascii="Calibri" w:hAnsi="Calibri" w:cs="Calibri"/>
          <w:sz w:val="24"/>
          <w:szCs w:val="24"/>
        </w:rPr>
        <w:t>entegre</w:t>
      </w:r>
      <w:proofErr w:type="gramEnd"/>
      <w:r w:rsidRPr="00C4705F">
        <w:rPr>
          <w:rFonts w:ascii="Calibri" w:hAnsi="Calibri" w:cs="Calibri"/>
          <w:sz w:val="24"/>
          <w:szCs w:val="24"/>
        </w:rPr>
        <w:t xml:space="preserve"> çalışabilen süperkapasitörler, yüksek güç yoğunluğu ve uzun çevrim ömürleri sayesinde enerji depolama alanında öne çıkan teknolojilerden biridir. </w:t>
      </w:r>
      <w:r>
        <w:rPr>
          <w:rFonts w:ascii="Calibri" w:hAnsi="Calibri" w:cs="Calibri"/>
          <w:sz w:val="24"/>
          <w:szCs w:val="24"/>
        </w:rPr>
        <w:t>S</w:t>
      </w:r>
      <w:r w:rsidRPr="00C4705F">
        <w:rPr>
          <w:rFonts w:ascii="Calibri" w:hAnsi="Calibri" w:cs="Calibri"/>
          <w:sz w:val="24"/>
          <w:szCs w:val="24"/>
        </w:rPr>
        <w:t>üperkapasitörler yalnızca yenilenebilir enerji sistemlerinin desteklenmesinde değil; mobil elektronik cihazlar, robotik sistemler, hızlı şarj edilebilen elektrikli araçlar, giyilebilir biyosensörler ve binalarda güç kaynağı uygulamaları gibi birçok farklı kullanım alanında kendine yer bulmaktadır</w:t>
      </w:r>
      <w:r>
        <w:rPr>
          <w:rFonts w:ascii="Calibri" w:hAnsi="Calibri" w:cs="Calibri"/>
          <w:sz w:val="24"/>
          <w:szCs w:val="24"/>
        </w:rPr>
        <w:t xml:space="preserve"> (Şekil </w:t>
      </w:r>
      <w:r w:rsidR="00011DCE">
        <w:rPr>
          <w:rFonts w:ascii="Calibri" w:hAnsi="Calibri" w:cs="Calibri"/>
          <w:sz w:val="24"/>
          <w:szCs w:val="24"/>
        </w:rPr>
        <w:t>3</w:t>
      </w:r>
      <w:r>
        <w:rPr>
          <w:rFonts w:ascii="Calibri" w:hAnsi="Calibri" w:cs="Calibri"/>
          <w:sz w:val="24"/>
          <w:szCs w:val="24"/>
        </w:rPr>
        <w:t>).</w:t>
      </w:r>
      <w:r w:rsidRPr="00C4705F">
        <w:rPr>
          <w:rFonts w:ascii="Calibri" w:hAnsi="Calibri" w:cs="Calibri"/>
          <w:sz w:val="24"/>
          <w:szCs w:val="24"/>
        </w:rPr>
        <w:t xml:space="preserve"> </w:t>
      </w:r>
    </w:p>
    <w:p w14:paraId="1EB032D0" w14:textId="7C3F096D" w:rsidR="0024533F" w:rsidRDefault="0024533F" w:rsidP="0024533F">
      <w:pPr>
        <w:spacing w:after="0" w:line="360" w:lineRule="auto"/>
        <w:jc w:val="both"/>
        <w:rPr>
          <w:rFonts w:ascii="Calibri" w:hAnsi="Calibri" w:cs="Calibri"/>
          <w:sz w:val="24"/>
          <w:szCs w:val="24"/>
        </w:rPr>
      </w:pPr>
      <w:r w:rsidRPr="004D122E">
        <w:rPr>
          <w:rFonts w:ascii="Calibri" w:hAnsi="Calibri" w:cs="Calibri"/>
          <w:sz w:val="24"/>
          <w:szCs w:val="24"/>
        </w:rPr>
        <w:t xml:space="preserve">Teknolojinin hızla ilerlemesi ve küresel ekonomik gelişmelerle birlikte, birçok sektörde yapay zekâ destekli ekipmanlara olan talep giderek artmaktadır. Bu alanlara örnek olarak akıllı robotlar, akıllı sensörler ve yenilikçi enerji depolama sistemleri verilebilir. Örneğin, robotlar tıp, sanayi, askeriye ve uzay araştırmaları gibi birçok alanda kullanılmaktadır. Bu nedenle, robotların çeşitli iş yüklerini uzun süre boyunca verimli ve güvenilir şekilde karşılayabilecek akıllı bir güç kontrol sisteminin geliştirilmesi büyük önem taşımaktadır. Şekil </w:t>
      </w:r>
      <w:r>
        <w:rPr>
          <w:rFonts w:ascii="Calibri" w:hAnsi="Calibri" w:cs="Calibri"/>
          <w:sz w:val="24"/>
          <w:szCs w:val="24"/>
        </w:rPr>
        <w:t xml:space="preserve">4’te </w:t>
      </w:r>
      <w:r w:rsidRPr="004D122E">
        <w:rPr>
          <w:rFonts w:ascii="Calibri" w:hAnsi="Calibri" w:cs="Calibri"/>
          <w:sz w:val="24"/>
          <w:szCs w:val="24"/>
        </w:rPr>
        <w:t>süperkapasitörlerin farklı cihazlardaki uygulamaları</w:t>
      </w:r>
      <w:r>
        <w:rPr>
          <w:rFonts w:ascii="Calibri" w:hAnsi="Calibri" w:cs="Calibri"/>
          <w:sz w:val="24"/>
          <w:szCs w:val="24"/>
        </w:rPr>
        <w:t xml:space="preserve"> ile</w:t>
      </w:r>
      <w:r w:rsidRPr="004D122E">
        <w:rPr>
          <w:rFonts w:ascii="Calibri" w:hAnsi="Calibri" w:cs="Calibri"/>
          <w:sz w:val="24"/>
          <w:szCs w:val="24"/>
        </w:rPr>
        <w:t xml:space="preserve"> bir süperkapasitörle çalışan protez elli akıllı robot örneği</w:t>
      </w:r>
      <w:r>
        <w:rPr>
          <w:rFonts w:ascii="Calibri" w:hAnsi="Calibri" w:cs="Calibri"/>
          <w:sz w:val="24"/>
          <w:szCs w:val="24"/>
        </w:rPr>
        <w:t xml:space="preserve"> gösterilmektedir.</w:t>
      </w:r>
    </w:p>
    <w:p w14:paraId="1B7E5C5C" w14:textId="659071BA" w:rsidR="00C4705F" w:rsidRPr="00C4705F" w:rsidRDefault="008D5FE1" w:rsidP="001F770C">
      <w:pPr>
        <w:spacing w:after="0" w:line="360" w:lineRule="auto"/>
        <w:jc w:val="both"/>
        <w:rPr>
          <w:rFonts w:ascii="Calibri" w:hAnsi="Calibri" w:cs="Calibri"/>
          <w:sz w:val="24"/>
          <w:szCs w:val="24"/>
        </w:rPr>
      </w:pPr>
      <w:r w:rsidRPr="00C4705F">
        <w:rPr>
          <w:rFonts w:ascii="Calibri" w:hAnsi="Calibri" w:cs="Calibri"/>
          <w:sz w:val="24"/>
          <w:szCs w:val="24"/>
        </w:rPr>
        <w:t>Bu çok yönlü kullanım kabiliyeti, süperkapasitörleri geleceğin enerji sistemlerinde kilit bir bileşen haline getirmektedir.</w:t>
      </w:r>
      <w:r>
        <w:rPr>
          <w:rFonts w:ascii="Calibri" w:hAnsi="Calibri" w:cs="Calibri"/>
          <w:sz w:val="24"/>
          <w:szCs w:val="24"/>
        </w:rPr>
        <w:t xml:space="preserve"> </w:t>
      </w:r>
    </w:p>
    <w:p w14:paraId="28D1A7B8" w14:textId="78D2FCC4" w:rsidR="00C4705F" w:rsidRPr="00C4705F" w:rsidRDefault="00C4705F" w:rsidP="001F770C">
      <w:pPr>
        <w:spacing w:after="0" w:line="360" w:lineRule="auto"/>
        <w:jc w:val="both"/>
        <w:rPr>
          <w:rFonts w:ascii="Calibri" w:hAnsi="Calibri" w:cs="Calibri"/>
          <w:b/>
          <w:bCs/>
          <w:sz w:val="24"/>
          <w:szCs w:val="24"/>
        </w:rPr>
      </w:pPr>
      <w:r>
        <w:rPr>
          <w:noProof/>
        </w:rPr>
        <w:lastRenderedPageBreak/>
        <w:drawing>
          <wp:inline distT="0" distB="0" distL="0" distR="0" wp14:anchorId="2A82DF74" wp14:editId="45C1DA71">
            <wp:extent cx="5760720" cy="3057525"/>
            <wp:effectExtent l="0" t="0" r="0" b="9525"/>
            <wp:docPr id="1731968020" name="Resim 1" descr="metin,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8020" name="Resim 1" descr="metin, tasarım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57525"/>
                    </a:xfrm>
                    <a:prstGeom prst="rect">
                      <a:avLst/>
                    </a:prstGeom>
                    <a:noFill/>
                    <a:ln>
                      <a:noFill/>
                    </a:ln>
                  </pic:spPr>
                </pic:pic>
              </a:graphicData>
            </a:graphic>
          </wp:inline>
        </w:drawing>
      </w:r>
    </w:p>
    <w:p w14:paraId="07F01623" w14:textId="77772139" w:rsidR="00282140" w:rsidRDefault="00C4705F" w:rsidP="001F770C">
      <w:pPr>
        <w:spacing w:after="0" w:line="360" w:lineRule="auto"/>
        <w:jc w:val="both"/>
        <w:rPr>
          <w:rFonts w:ascii="Calibri" w:hAnsi="Calibri" w:cs="Calibri"/>
          <w:sz w:val="24"/>
          <w:szCs w:val="24"/>
        </w:rPr>
      </w:pPr>
      <w:r>
        <w:rPr>
          <w:rFonts w:ascii="Calibri" w:hAnsi="Calibri" w:cs="Calibri"/>
          <w:sz w:val="24"/>
          <w:szCs w:val="24"/>
        </w:rPr>
        <w:t xml:space="preserve">Şekil </w:t>
      </w:r>
      <w:r w:rsidR="004D122E">
        <w:rPr>
          <w:rFonts w:ascii="Calibri" w:hAnsi="Calibri" w:cs="Calibri"/>
          <w:sz w:val="24"/>
          <w:szCs w:val="24"/>
        </w:rPr>
        <w:t>3</w:t>
      </w:r>
      <w:r>
        <w:rPr>
          <w:rFonts w:ascii="Calibri" w:hAnsi="Calibri" w:cs="Calibri"/>
          <w:sz w:val="24"/>
          <w:szCs w:val="24"/>
        </w:rPr>
        <w:t xml:space="preserve">. </w:t>
      </w:r>
      <w:r w:rsidRPr="00C4705F">
        <w:rPr>
          <w:rFonts w:ascii="Calibri" w:hAnsi="Calibri" w:cs="Calibri"/>
          <w:sz w:val="24"/>
          <w:szCs w:val="24"/>
        </w:rPr>
        <w:t>Yenilenebilir enerjiler ve süperkapasitör uygulamaları</w:t>
      </w:r>
      <w:r>
        <w:rPr>
          <w:rFonts w:ascii="Calibri" w:hAnsi="Calibri" w:cs="Calibri"/>
          <w:sz w:val="24"/>
          <w:szCs w:val="24"/>
        </w:rPr>
        <w:t>.</w:t>
      </w:r>
    </w:p>
    <w:p w14:paraId="372979BF" w14:textId="77777777" w:rsidR="001F770C" w:rsidRDefault="001F770C" w:rsidP="001F770C">
      <w:pPr>
        <w:spacing w:after="0" w:line="360" w:lineRule="auto"/>
        <w:jc w:val="both"/>
        <w:rPr>
          <w:rFonts w:ascii="Calibri" w:hAnsi="Calibri" w:cs="Calibri"/>
          <w:sz w:val="24"/>
          <w:szCs w:val="24"/>
        </w:rPr>
      </w:pPr>
    </w:p>
    <w:p w14:paraId="0DE8106D" w14:textId="4ACED1EB" w:rsidR="004D122E" w:rsidRDefault="004D122E" w:rsidP="001F770C">
      <w:pPr>
        <w:spacing w:after="0" w:line="360" w:lineRule="auto"/>
        <w:jc w:val="both"/>
        <w:rPr>
          <w:rFonts w:ascii="Calibri" w:hAnsi="Calibri" w:cs="Calibri"/>
          <w:sz w:val="24"/>
          <w:szCs w:val="24"/>
        </w:rPr>
      </w:pPr>
      <w:r>
        <w:rPr>
          <w:noProof/>
        </w:rPr>
        <w:drawing>
          <wp:inline distT="0" distB="0" distL="0" distR="0" wp14:anchorId="373C5A0D" wp14:editId="36200BBD">
            <wp:extent cx="5760720" cy="4124325"/>
            <wp:effectExtent l="0" t="0" r="0" b="9525"/>
            <wp:docPr id="2081914033" name="Resim 4" descr="metin, müzik aleti, gitar, müz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4033" name="Resim 4" descr="metin, müzik aleti, gitar, müzik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24325"/>
                    </a:xfrm>
                    <a:prstGeom prst="rect">
                      <a:avLst/>
                    </a:prstGeom>
                    <a:noFill/>
                    <a:ln>
                      <a:noFill/>
                    </a:ln>
                  </pic:spPr>
                </pic:pic>
              </a:graphicData>
            </a:graphic>
          </wp:inline>
        </w:drawing>
      </w:r>
    </w:p>
    <w:p w14:paraId="7FEC4D76" w14:textId="208DDEA9" w:rsidR="004D122E" w:rsidRDefault="004D122E" w:rsidP="001F770C">
      <w:pPr>
        <w:spacing w:after="0" w:line="360" w:lineRule="auto"/>
        <w:jc w:val="both"/>
        <w:rPr>
          <w:rFonts w:ascii="Calibri" w:hAnsi="Calibri" w:cs="Calibri"/>
          <w:sz w:val="24"/>
          <w:szCs w:val="24"/>
        </w:rPr>
      </w:pPr>
      <w:r>
        <w:rPr>
          <w:rFonts w:ascii="Calibri" w:hAnsi="Calibri" w:cs="Calibri"/>
          <w:sz w:val="24"/>
          <w:szCs w:val="24"/>
        </w:rPr>
        <w:t xml:space="preserve">Şekil 4. </w:t>
      </w:r>
      <w:r w:rsidRPr="004D122E">
        <w:rPr>
          <w:rFonts w:ascii="Calibri" w:hAnsi="Calibri" w:cs="Calibri"/>
          <w:sz w:val="24"/>
          <w:szCs w:val="24"/>
        </w:rPr>
        <w:t>Farklı taşınabilir cihazlarda süperkapasitör uygulamaları</w:t>
      </w:r>
      <w:r w:rsidR="00282140">
        <w:rPr>
          <w:rFonts w:ascii="Calibri" w:hAnsi="Calibri" w:cs="Calibri"/>
          <w:sz w:val="24"/>
          <w:szCs w:val="24"/>
        </w:rPr>
        <w:t>.</w:t>
      </w:r>
    </w:p>
    <w:p w14:paraId="11FCA2E8" w14:textId="77777777" w:rsidR="0024533F" w:rsidRDefault="0024533F" w:rsidP="001F770C">
      <w:pPr>
        <w:spacing w:after="0" w:line="360" w:lineRule="auto"/>
        <w:jc w:val="both"/>
        <w:rPr>
          <w:rFonts w:ascii="Calibri" w:hAnsi="Calibri" w:cs="Calibri"/>
          <w:b/>
          <w:bCs/>
          <w:sz w:val="24"/>
          <w:szCs w:val="24"/>
        </w:rPr>
      </w:pPr>
    </w:p>
    <w:p w14:paraId="09887FD3" w14:textId="77777777" w:rsidR="0024533F" w:rsidRDefault="0024533F" w:rsidP="001F770C">
      <w:pPr>
        <w:spacing w:after="0" w:line="360" w:lineRule="auto"/>
        <w:jc w:val="both"/>
        <w:rPr>
          <w:rFonts w:ascii="Calibri" w:hAnsi="Calibri" w:cs="Calibri"/>
          <w:b/>
          <w:bCs/>
          <w:sz w:val="24"/>
          <w:szCs w:val="24"/>
        </w:rPr>
      </w:pPr>
    </w:p>
    <w:p w14:paraId="0CB8D271" w14:textId="1DAFE55D" w:rsidR="00C516DD" w:rsidRPr="00C4705F" w:rsidRDefault="0042256E" w:rsidP="001F770C">
      <w:pPr>
        <w:spacing w:after="0" w:line="360" w:lineRule="auto"/>
        <w:jc w:val="both"/>
        <w:rPr>
          <w:rFonts w:ascii="Calibri" w:hAnsi="Calibri" w:cs="Calibri"/>
          <w:b/>
          <w:bCs/>
          <w:sz w:val="24"/>
          <w:szCs w:val="24"/>
        </w:rPr>
      </w:pPr>
      <w:r>
        <w:rPr>
          <w:rFonts w:ascii="Calibri" w:hAnsi="Calibri" w:cs="Calibri"/>
          <w:b/>
          <w:bCs/>
          <w:sz w:val="24"/>
          <w:szCs w:val="24"/>
        </w:rPr>
        <w:lastRenderedPageBreak/>
        <w:t>CÜNAM’ın Projeleri</w:t>
      </w:r>
    </w:p>
    <w:p w14:paraId="23CC8084" w14:textId="2A64E560" w:rsidR="004D122E" w:rsidRDefault="00C516DD" w:rsidP="001F770C">
      <w:pPr>
        <w:spacing w:after="0" w:line="360" w:lineRule="auto"/>
        <w:jc w:val="both"/>
        <w:rPr>
          <w:rFonts w:ascii="Calibri" w:hAnsi="Calibri" w:cs="Calibri"/>
          <w:sz w:val="24"/>
          <w:szCs w:val="24"/>
        </w:rPr>
      </w:pPr>
      <w:r w:rsidRPr="00B2444A">
        <w:rPr>
          <w:rFonts w:ascii="Calibri" w:hAnsi="Calibri" w:cs="Calibri"/>
          <w:sz w:val="24"/>
          <w:szCs w:val="24"/>
        </w:rPr>
        <w:t xml:space="preserve">Süperkapasitör performansında elektrot malzemesinin rolü belirleyicidir. Yüksek yüzey alanına sahip, kimyasal olarak kararlı ve iletkenliği yüksek malzemeler tercih edilmektedir. </w:t>
      </w:r>
      <w:r w:rsidR="00D91D60">
        <w:rPr>
          <w:rFonts w:ascii="Calibri" w:hAnsi="Calibri" w:cs="Calibri"/>
          <w:sz w:val="24"/>
          <w:szCs w:val="24"/>
        </w:rPr>
        <w:t xml:space="preserve">Buna örnek olarak </w:t>
      </w:r>
      <w:r w:rsidRPr="00B2444A">
        <w:rPr>
          <w:rFonts w:ascii="Calibri" w:hAnsi="Calibri" w:cs="Calibri"/>
          <w:sz w:val="24"/>
          <w:szCs w:val="24"/>
        </w:rPr>
        <w:t xml:space="preserve">manganez dioksit (MnO₂), çevre dostu yapısı, düşük maliyeti ve yüksek teorik kapasitansı (~1370 F g⁻¹) sayesinde öne çıkan bir malzemedir. </w:t>
      </w:r>
      <w:r w:rsidRPr="00B2444A">
        <w:rPr>
          <w:rFonts w:ascii="Calibri" w:hAnsi="Calibri" w:cs="Calibri"/>
          <w:sz w:val="24"/>
          <w:szCs w:val="24"/>
        </w:rPr>
        <w:br/>
        <w:t xml:space="preserve">CÜNAM bünyesinde yürütülen </w:t>
      </w:r>
      <w:r w:rsidR="00C1027F">
        <w:rPr>
          <w:rFonts w:ascii="Calibri" w:hAnsi="Calibri" w:cs="Calibri"/>
          <w:sz w:val="24"/>
          <w:szCs w:val="24"/>
        </w:rPr>
        <w:t>“</w:t>
      </w:r>
      <w:r w:rsidR="00C1027F" w:rsidRPr="00C1027F">
        <w:rPr>
          <w:rFonts w:ascii="Calibri" w:hAnsi="Calibri" w:cs="Calibri"/>
          <w:sz w:val="24"/>
          <w:szCs w:val="24"/>
        </w:rPr>
        <w:t>Mo ve V ile Katkılanmış MnO₂ Elektrotlar ile Yüksek Performanslı Asimetrik Süperkapasitör Geliştirilmesi</w:t>
      </w:r>
      <w:r w:rsidR="00C1027F">
        <w:rPr>
          <w:rFonts w:ascii="Calibri" w:hAnsi="Calibri" w:cs="Calibri"/>
          <w:sz w:val="24"/>
          <w:szCs w:val="24"/>
        </w:rPr>
        <w:t xml:space="preserve">” adlı </w:t>
      </w:r>
      <w:r w:rsidRPr="00B2444A">
        <w:rPr>
          <w:rFonts w:ascii="Calibri" w:hAnsi="Calibri" w:cs="Calibri"/>
          <w:sz w:val="24"/>
          <w:szCs w:val="24"/>
        </w:rPr>
        <w:t>TÜBİTAK 3501 destekli projede</w:t>
      </w:r>
      <w:r w:rsidR="002E3AF2">
        <w:rPr>
          <w:rFonts w:ascii="Calibri" w:hAnsi="Calibri" w:cs="Calibri"/>
          <w:sz w:val="24"/>
          <w:szCs w:val="24"/>
        </w:rPr>
        <w:t xml:space="preserve"> geliştirilecek olan süperkapasitörde;</w:t>
      </w:r>
      <w:r w:rsidRPr="00B2444A">
        <w:rPr>
          <w:rFonts w:ascii="Calibri" w:hAnsi="Calibri" w:cs="Calibri"/>
          <w:sz w:val="24"/>
          <w:szCs w:val="24"/>
        </w:rPr>
        <w:t xml:space="preserve"> Molibden (Mo) katkısı, MnO₂'</w:t>
      </w:r>
      <w:proofErr w:type="spellStart"/>
      <w:r w:rsidRPr="00B2444A">
        <w:rPr>
          <w:rFonts w:ascii="Calibri" w:hAnsi="Calibri" w:cs="Calibri"/>
          <w:sz w:val="24"/>
          <w:szCs w:val="24"/>
        </w:rPr>
        <w:t>nin</w:t>
      </w:r>
      <w:proofErr w:type="spellEnd"/>
      <w:r w:rsidRPr="00B2444A">
        <w:rPr>
          <w:rFonts w:ascii="Calibri" w:hAnsi="Calibri" w:cs="Calibri"/>
          <w:sz w:val="24"/>
          <w:szCs w:val="24"/>
        </w:rPr>
        <w:t xml:space="preserve"> redoks kapasitesini artırarak pozitif elektrotun performansını güçlendirirken; vanadyum (V) katkısı ise iyon taşınımını hızlandırarak negatif elektrotun daha geniş potansiyel aralıklarında stabil çalışmasını sağla</w:t>
      </w:r>
      <w:r w:rsidR="004D122E">
        <w:rPr>
          <w:rFonts w:ascii="Calibri" w:hAnsi="Calibri" w:cs="Calibri"/>
          <w:sz w:val="24"/>
          <w:szCs w:val="24"/>
        </w:rPr>
        <w:t>yacaktır.</w:t>
      </w:r>
    </w:p>
    <w:p w14:paraId="7BD24949" w14:textId="0ACADEA8" w:rsidR="00C516DD" w:rsidRPr="004D122E" w:rsidRDefault="00C516DD" w:rsidP="001F770C">
      <w:pPr>
        <w:spacing w:after="0" w:line="360" w:lineRule="auto"/>
        <w:jc w:val="both"/>
        <w:rPr>
          <w:rFonts w:ascii="Calibri" w:hAnsi="Calibri" w:cs="Calibri"/>
          <w:b/>
          <w:bCs/>
          <w:sz w:val="24"/>
          <w:szCs w:val="24"/>
        </w:rPr>
      </w:pPr>
      <w:r w:rsidRPr="004D122E">
        <w:rPr>
          <w:rFonts w:ascii="Calibri" w:hAnsi="Calibri" w:cs="Calibri"/>
          <w:b/>
          <w:bCs/>
          <w:sz w:val="24"/>
          <w:szCs w:val="24"/>
        </w:rPr>
        <w:t>Üretim ve Karakterizasyon Yaklaşımı</w:t>
      </w:r>
    </w:p>
    <w:p w14:paraId="20A272A1" w14:textId="77777777" w:rsidR="002E3AF2" w:rsidRDefault="00C516DD" w:rsidP="001F770C">
      <w:pPr>
        <w:spacing w:after="0" w:line="360" w:lineRule="auto"/>
        <w:jc w:val="both"/>
        <w:rPr>
          <w:rFonts w:ascii="Calibri" w:hAnsi="Calibri" w:cs="Calibri"/>
          <w:sz w:val="24"/>
          <w:szCs w:val="24"/>
        </w:rPr>
      </w:pPr>
      <w:r w:rsidRPr="00B2444A">
        <w:rPr>
          <w:rFonts w:ascii="Calibri" w:hAnsi="Calibri" w:cs="Calibri"/>
          <w:sz w:val="24"/>
          <w:szCs w:val="24"/>
        </w:rPr>
        <w:t>Merkezimizde bulunan NVTS-500 Sputter/Termal İnce Film Kaplama Sistemi ile süperkapasitör elektrotları reaktif RF/DC magnetron saçtırma yöntemiyle üretil</w:t>
      </w:r>
      <w:r w:rsidR="00D91D60">
        <w:rPr>
          <w:rFonts w:ascii="Calibri" w:hAnsi="Calibri" w:cs="Calibri"/>
          <w:sz w:val="24"/>
          <w:szCs w:val="24"/>
        </w:rPr>
        <w:t>ebil</w:t>
      </w:r>
      <w:r w:rsidRPr="00B2444A">
        <w:rPr>
          <w:rFonts w:ascii="Calibri" w:hAnsi="Calibri" w:cs="Calibri"/>
          <w:sz w:val="24"/>
          <w:szCs w:val="24"/>
        </w:rPr>
        <w:t>mektedir. Bu yöntem, çözelti temelli yöntemlere kıyasla daha homojen, kontrollü ve tekrarlanabilir film büyütme süreçleri sun</w:t>
      </w:r>
      <w:r w:rsidR="00C1027F">
        <w:rPr>
          <w:rFonts w:ascii="Calibri" w:hAnsi="Calibri" w:cs="Calibri"/>
          <w:sz w:val="24"/>
          <w:szCs w:val="24"/>
        </w:rPr>
        <w:t>maktadır</w:t>
      </w:r>
      <w:r w:rsidRPr="00B2444A">
        <w:rPr>
          <w:rFonts w:ascii="Calibri" w:hAnsi="Calibri" w:cs="Calibri"/>
          <w:sz w:val="24"/>
          <w:szCs w:val="24"/>
        </w:rPr>
        <w:t xml:space="preserve">. </w:t>
      </w:r>
    </w:p>
    <w:p w14:paraId="784C8AEF" w14:textId="27F0083D" w:rsidR="00C516DD" w:rsidRDefault="00C516DD" w:rsidP="001F770C">
      <w:pPr>
        <w:spacing w:after="0" w:line="360" w:lineRule="auto"/>
        <w:jc w:val="both"/>
        <w:rPr>
          <w:rFonts w:ascii="Calibri" w:hAnsi="Calibri" w:cs="Calibri"/>
          <w:sz w:val="24"/>
          <w:szCs w:val="24"/>
        </w:rPr>
      </w:pPr>
      <w:r w:rsidRPr="00B2444A">
        <w:rPr>
          <w:rFonts w:ascii="Calibri" w:hAnsi="Calibri" w:cs="Calibri"/>
          <w:sz w:val="24"/>
          <w:szCs w:val="24"/>
        </w:rPr>
        <w:t xml:space="preserve">Üretilen filmler XRD, </w:t>
      </w:r>
      <w:r w:rsidR="002E3AF2">
        <w:rPr>
          <w:rFonts w:ascii="Calibri" w:hAnsi="Calibri" w:cs="Calibri"/>
          <w:sz w:val="24"/>
          <w:szCs w:val="24"/>
        </w:rPr>
        <w:t xml:space="preserve">AFM, </w:t>
      </w:r>
      <w:r w:rsidRPr="00B2444A">
        <w:rPr>
          <w:rFonts w:ascii="Calibri" w:hAnsi="Calibri" w:cs="Calibri"/>
          <w:sz w:val="24"/>
          <w:szCs w:val="24"/>
        </w:rPr>
        <w:t>Raman</w:t>
      </w:r>
      <w:r w:rsidR="002E3AF2">
        <w:rPr>
          <w:rFonts w:ascii="Calibri" w:hAnsi="Calibri" w:cs="Calibri"/>
          <w:sz w:val="24"/>
          <w:szCs w:val="24"/>
        </w:rPr>
        <w:t>,</w:t>
      </w:r>
      <w:r w:rsidRPr="00B2444A">
        <w:rPr>
          <w:rFonts w:ascii="Calibri" w:hAnsi="Calibri" w:cs="Calibri"/>
          <w:sz w:val="24"/>
          <w:szCs w:val="24"/>
        </w:rPr>
        <w:t xml:space="preserve"> </w:t>
      </w:r>
      <w:r w:rsidR="002E3AF2">
        <w:rPr>
          <w:rFonts w:ascii="Calibri" w:hAnsi="Calibri" w:cs="Calibri"/>
          <w:sz w:val="24"/>
          <w:szCs w:val="24"/>
        </w:rPr>
        <w:t xml:space="preserve">SEM </w:t>
      </w:r>
      <w:r w:rsidRPr="00B2444A">
        <w:rPr>
          <w:rFonts w:ascii="Calibri" w:hAnsi="Calibri" w:cs="Calibri"/>
          <w:sz w:val="24"/>
          <w:szCs w:val="24"/>
        </w:rPr>
        <w:t>ve EDX gibi karakterizasyon teknikleri ile incelenmekte; elektrokimyasal performans analizleri ise CV, GCD ve EIS yöntemleriyle gerçekleştirilmektedir.</w:t>
      </w:r>
    </w:p>
    <w:p w14:paraId="6ED17382" w14:textId="1C5B5EB2" w:rsidR="00C516DD" w:rsidRPr="004D122E" w:rsidRDefault="00C516DD" w:rsidP="001F770C">
      <w:pPr>
        <w:spacing w:after="0" w:line="360" w:lineRule="auto"/>
        <w:jc w:val="both"/>
        <w:rPr>
          <w:rFonts w:ascii="Calibri" w:hAnsi="Calibri" w:cs="Calibri"/>
          <w:b/>
          <w:bCs/>
          <w:sz w:val="24"/>
          <w:szCs w:val="24"/>
        </w:rPr>
      </w:pPr>
      <w:r w:rsidRPr="004D122E">
        <w:rPr>
          <w:rFonts w:ascii="Calibri" w:hAnsi="Calibri" w:cs="Calibri"/>
          <w:b/>
          <w:bCs/>
          <w:sz w:val="24"/>
          <w:szCs w:val="24"/>
        </w:rPr>
        <w:t>Gelecek Perspektifi ve Araştırma Alanlarımız</w:t>
      </w:r>
    </w:p>
    <w:p w14:paraId="32F98213" w14:textId="240B082B" w:rsidR="004D122E" w:rsidRDefault="00C516DD" w:rsidP="001F770C">
      <w:pPr>
        <w:spacing w:after="0" w:line="360" w:lineRule="auto"/>
        <w:jc w:val="both"/>
        <w:rPr>
          <w:rFonts w:ascii="Calibri" w:hAnsi="Calibri" w:cs="Calibri"/>
          <w:sz w:val="24"/>
          <w:szCs w:val="24"/>
        </w:rPr>
      </w:pPr>
      <w:r w:rsidRPr="00B2444A">
        <w:rPr>
          <w:rFonts w:ascii="Calibri" w:hAnsi="Calibri" w:cs="Calibri"/>
          <w:sz w:val="24"/>
          <w:szCs w:val="24"/>
        </w:rPr>
        <w:t xml:space="preserve">Süperkapasitör teknolojileri üzerine yürütülen çalışmalar, malzeme mühendisliği, elektrokimya ve nanoteknoloji disiplinlerinin kesişiminde yer almakta ve merkezimizin </w:t>
      </w:r>
      <w:proofErr w:type="spellStart"/>
      <w:r w:rsidRPr="00B2444A">
        <w:rPr>
          <w:rFonts w:ascii="Calibri" w:hAnsi="Calibri" w:cs="Calibri"/>
          <w:sz w:val="24"/>
          <w:szCs w:val="24"/>
        </w:rPr>
        <w:t>disiplinlerarası</w:t>
      </w:r>
      <w:proofErr w:type="spellEnd"/>
      <w:r w:rsidRPr="00B2444A">
        <w:rPr>
          <w:rFonts w:ascii="Calibri" w:hAnsi="Calibri" w:cs="Calibri"/>
          <w:sz w:val="24"/>
          <w:szCs w:val="24"/>
        </w:rPr>
        <w:t xml:space="preserve"> araştırma kapasitesini güçlendirmektedir. Geliştirilen elektrotlar</w:t>
      </w:r>
      <w:r w:rsidR="00C1027F">
        <w:rPr>
          <w:rFonts w:ascii="Calibri" w:hAnsi="Calibri" w:cs="Calibri"/>
          <w:sz w:val="24"/>
          <w:szCs w:val="24"/>
        </w:rPr>
        <w:t xml:space="preserve"> ve cihazlar</w:t>
      </w:r>
      <w:r w:rsidRPr="00B2444A">
        <w:rPr>
          <w:rFonts w:ascii="Calibri" w:hAnsi="Calibri" w:cs="Calibri"/>
          <w:sz w:val="24"/>
          <w:szCs w:val="24"/>
        </w:rPr>
        <w:t xml:space="preserve"> sadece laboratuvar ölçeğinde değil, ileriye dönük ölçeklenebilir enerji depolama çözümleri olarak da değerlendirilmektedir.</w:t>
      </w:r>
      <w:r w:rsidRPr="00B2444A">
        <w:rPr>
          <w:rFonts w:ascii="Calibri" w:hAnsi="Calibri" w:cs="Calibri"/>
          <w:sz w:val="24"/>
          <w:szCs w:val="24"/>
        </w:rPr>
        <w:br/>
        <w:t>Merkezimizin süperkapasitör araştırmaları; yüksek enerji yoğunluğu, uzun döngü ömrü ve çevresel sürdürülebilirlik gibi kriterleri karşılayan yeni nesil enerji depolama sistemlerinin geliştirilmesine katkı sunmayı hedeflemektedir.</w:t>
      </w:r>
    </w:p>
    <w:p w14:paraId="34982CC9" w14:textId="77777777" w:rsidR="00C1027F" w:rsidRDefault="00C1027F" w:rsidP="001F770C">
      <w:pPr>
        <w:spacing w:after="0" w:line="360" w:lineRule="auto"/>
        <w:jc w:val="both"/>
        <w:rPr>
          <w:rFonts w:ascii="Calibri" w:hAnsi="Calibri" w:cs="Calibri"/>
          <w:sz w:val="24"/>
          <w:szCs w:val="24"/>
        </w:rPr>
      </w:pPr>
    </w:p>
    <w:p w14:paraId="5BE25087" w14:textId="77777777" w:rsidR="002B56E2" w:rsidRDefault="002B56E2" w:rsidP="001F770C">
      <w:pPr>
        <w:spacing w:after="0" w:line="360" w:lineRule="auto"/>
        <w:jc w:val="both"/>
        <w:rPr>
          <w:rFonts w:ascii="Calibri" w:hAnsi="Calibri" w:cs="Calibri"/>
          <w:sz w:val="24"/>
          <w:szCs w:val="24"/>
        </w:rPr>
      </w:pPr>
    </w:p>
    <w:p w14:paraId="498CBC88" w14:textId="77777777" w:rsidR="002B56E2" w:rsidRDefault="002B56E2" w:rsidP="001F770C">
      <w:pPr>
        <w:spacing w:after="0" w:line="360" w:lineRule="auto"/>
        <w:jc w:val="both"/>
        <w:rPr>
          <w:rFonts w:ascii="Calibri" w:hAnsi="Calibri" w:cs="Calibri"/>
          <w:sz w:val="24"/>
          <w:szCs w:val="24"/>
        </w:rPr>
      </w:pPr>
    </w:p>
    <w:p w14:paraId="4F0E0F5E" w14:textId="77777777" w:rsidR="002B56E2" w:rsidRDefault="002B56E2" w:rsidP="001F770C">
      <w:pPr>
        <w:spacing w:after="0" w:line="360" w:lineRule="auto"/>
        <w:jc w:val="both"/>
        <w:rPr>
          <w:rFonts w:ascii="Calibri" w:hAnsi="Calibri" w:cs="Calibri"/>
          <w:sz w:val="24"/>
          <w:szCs w:val="24"/>
        </w:rPr>
      </w:pPr>
    </w:p>
    <w:p w14:paraId="4CB941A6" w14:textId="77777777" w:rsidR="002B56E2" w:rsidRPr="00C1027F" w:rsidRDefault="002B56E2" w:rsidP="001F770C">
      <w:pPr>
        <w:spacing w:after="0" w:line="360" w:lineRule="auto"/>
        <w:jc w:val="both"/>
        <w:rPr>
          <w:rFonts w:ascii="Calibri" w:hAnsi="Calibri" w:cs="Calibri"/>
          <w:sz w:val="24"/>
          <w:szCs w:val="24"/>
        </w:rPr>
      </w:pPr>
    </w:p>
    <w:p w14:paraId="17D10A69" w14:textId="537462A7" w:rsidR="00AF5D79" w:rsidRPr="00AF5D79" w:rsidRDefault="00AF5D79" w:rsidP="001F770C">
      <w:pPr>
        <w:spacing w:after="0" w:line="360" w:lineRule="auto"/>
        <w:jc w:val="both"/>
        <w:rPr>
          <w:rFonts w:ascii="Calibri" w:hAnsi="Calibri" w:cs="Calibri"/>
          <w:b/>
          <w:bCs/>
          <w:sz w:val="24"/>
          <w:szCs w:val="24"/>
        </w:rPr>
      </w:pPr>
      <w:r w:rsidRPr="00AF5D79">
        <w:rPr>
          <w:rFonts w:ascii="Calibri" w:hAnsi="Calibri" w:cs="Calibri"/>
          <w:b/>
          <w:bCs/>
          <w:sz w:val="24"/>
          <w:szCs w:val="24"/>
        </w:rPr>
        <w:lastRenderedPageBreak/>
        <w:t>Kaynaklar</w:t>
      </w:r>
    </w:p>
    <w:p w14:paraId="3BBBB9FF" w14:textId="72F96DA7" w:rsidR="00FC0A03" w:rsidRDefault="00FC0A03" w:rsidP="001F770C">
      <w:pPr>
        <w:spacing w:after="0" w:line="360" w:lineRule="auto"/>
        <w:jc w:val="both"/>
        <w:rPr>
          <w:rFonts w:ascii="Calibri" w:hAnsi="Calibri" w:cs="Calibri"/>
          <w:sz w:val="24"/>
          <w:szCs w:val="24"/>
        </w:rPr>
      </w:pPr>
      <w:r>
        <w:rPr>
          <w:rFonts w:ascii="Calibri" w:hAnsi="Calibri" w:cs="Calibri"/>
          <w:sz w:val="24"/>
          <w:szCs w:val="24"/>
        </w:rPr>
        <w:t xml:space="preserve">1. Öztürk, O. </w:t>
      </w:r>
      <w:r w:rsidRPr="00FC0A03">
        <w:rPr>
          <w:rFonts w:ascii="Calibri" w:hAnsi="Calibri" w:cs="Calibri"/>
          <w:sz w:val="24"/>
          <w:szCs w:val="24"/>
        </w:rPr>
        <w:t>Nikel Sülfür Tabanlı Hibrit Süperkapasitör Aygıt Geliştirilmesi</w:t>
      </w:r>
      <w:r>
        <w:rPr>
          <w:rFonts w:ascii="Calibri" w:hAnsi="Calibri" w:cs="Calibri"/>
          <w:sz w:val="24"/>
          <w:szCs w:val="24"/>
        </w:rPr>
        <w:t>, Doktora Tezi, 2024.</w:t>
      </w:r>
    </w:p>
    <w:p w14:paraId="49892F84" w14:textId="126D5461" w:rsidR="00AF5D79" w:rsidRPr="00AF5D79" w:rsidRDefault="00FC0A03" w:rsidP="001F770C">
      <w:pPr>
        <w:spacing w:after="0" w:line="360" w:lineRule="auto"/>
        <w:jc w:val="both"/>
        <w:rPr>
          <w:rFonts w:ascii="Calibri" w:hAnsi="Calibri" w:cs="Calibri"/>
          <w:sz w:val="24"/>
          <w:szCs w:val="24"/>
        </w:rPr>
      </w:pPr>
      <w:r>
        <w:rPr>
          <w:rFonts w:ascii="Calibri" w:hAnsi="Calibri" w:cs="Calibri"/>
          <w:sz w:val="24"/>
          <w:szCs w:val="24"/>
        </w:rPr>
        <w:t>2</w:t>
      </w:r>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Conway</w:t>
      </w:r>
      <w:proofErr w:type="spellEnd"/>
      <w:r w:rsidR="00AF5D79" w:rsidRPr="00AF5D79">
        <w:rPr>
          <w:rFonts w:ascii="Calibri" w:hAnsi="Calibri" w:cs="Calibri"/>
          <w:sz w:val="24"/>
          <w:szCs w:val="24"/>
        </w:rPr>
        <w:t xml:space="preserve">, B. E. </w:t>
      </w:r>
      <w:proofErr w:type="spellStart"/>
      <w:r w:rsidR="00AF5D79" w:rsidRPr="00AF5D79">
        <w:rPr>
          <w:rFonts w:ascii="Calibri" w:hAnsi="Calibri" w:cs="Calibri"/>
          <w:sz w:val="24"/>
          <w:szCs w:val="24"/>
        </w:rPr>
        <w:t>Electrochemical</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Supercapacitors</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Scientific</w:t>
      </w:r>
      <w:proofErr w:type="spellEnd"/>
      <w:r w:rsidR="00AF5D79" w:rsidRPr="00AF5D79">
        <w:rPr>
          <w:rFonts w:ascii="Calibri" w:hAnsi="Calibri" w:cs="Calibri"/>
          <w:sz w:val="24"/>
          <w:szCs w:val="24"/>
        </w:rPr>
        <w:t xml:space="preserve"> Fundamentals </w:t>
      </w:r>
      <w:proofErr w:type="spellStart"/>
      <w:r w:rsidR="00AF5D79" w:rsidRPr="00AF5D79">
        <w:rPr>
          <w:rFonts w:ascii="Calibri" w:hAnsi="Calibri" w:cs="Calibri"/>
          <w:sz w:val="24"/>
          <w:szCs w:val="24"/>
        </w:rPr>
        <w:t>and</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Technological</w:t>
      </w:r>
      <w:proofErr w:type="spellEnd"/>
      <w:r w:rsidR="00AF5D79" w:rsidRPr="00AF5D79">
        <w:rPr>
          <w:rFonts w:ascii="Calibri" w:hAnsi="Calibri" w:cs="Calibri"/>
          <w:sz w:val="24"/>
          <w:szCs w:val="24"/>
        </w:rPr>
        <w:t xml:space="preserve"> Applications. </w:t>
      </w:r>
      <w:proofErr w:type="spellStart"/>
      <w:r w:rsidR="00AF5D79" w:rsidRPr="00AF5D79">
        <w:rPr>
          <w:rFonts w:ascii="Calibri" w:hAnsi="Calibri" w:cs="Calibri"/>
          <w:sz w:val="24"/>
          <w:szCs w:val="24"/>
        </w:rPr>
        <w:t>Springer</w:t>
      </w:r>
      <w:proofErr w:type="spellEnd"/>
      <w:r w:rsidR="00AF5D79" w:rsidRPr="00AF5D79">
        <w:rPr>
          <w:rFonts w:ascii="Calibri" w:hAnsi="Calibri" w:cs="Calibri"/>
          <w:sz w:val="24"/>
          <w:szCs w:val="24"/>
        </w:rPr>
        <w:t>, 1999.</w:t>
      </w:r>
    </w:p>
    <w:p w14:paraId="32554806" w14:textId="5BE6A619" w:rsidR="00C516DD" w:rsidRDefault="00FC0A03" w:rsidP="001F770C">
      <w:pPr>
        <w:spacing w:after="0" w:line="360" w:lineRule="auto"/>
        <w:jc w:val="both"/>
        <w:rPr>
          <w:rFonts w:ascii="Calibri" w:hAnsi="Calibri" w:cs="Calibri"/>
          <w:sz w:val="24"/>
          <w:szCs w:val="24"/>
        </w:rPr>
      </w:pPr>
      <w:r>
        <w:rPr>
          <w:rFonts w:ascii="Calibri" w:hAnsi="Calibri" w:cs="Calibri"/>
          <w:sz w:val="24"/>
          <w:szCs w:val="24"/>
        </w:rPr>
        <w:t>3</w:t>
      </w:r>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Zhi</w:t>
      </w:r>
      <w:proofErr w:type="spellEnd"/>
      <w:r w:rsidR="00AF5D79" w:rsidRPr="00AF5D79">
        <w:rPr>
          <w:rFonts w:ascii="Calibri" w:hAnsi="Calibri" w:cs="Calibri"/>
          <w:sz w:val="24"/>
          <w:szCs w:val="24"/>
        </w:rPr>
        <w:t xml:space="preserve">, M., </w:t>
      </w:r>
      <w:proofErr w:type="spellStart"/>
      <w:r w:rsidR="00AF5D79" w:rsidRPr="00AF5D79">
        <w:rPr>
          <w:rFonts w:ascii="Calibri" w:hAnsi="Calibri" w:cs="Calibri"/>
          <w:sz w:val="24"/>
          <w:szCs w:val="24"/>
        </w:rPr>
        <w:t>Xiang</w:t>
      </w:r>
      <w:proofErr w:type="spellEnd"/>
      <w:r w:rsidR="00AF5D79" w:rsidRPr="00AF5D79">
        <w:rPr>
          <w:rFonts w:ascii="Calibri" w:hAnsi="Calibri" w:cs="Calibri"/>
          <w:sz w:val="24"/>
          <w:szCs w:val="24"/>
        </w:rPr>
        <w:t xml:space="preserve">, C., </w:t>
      </w:r>
      <w:proofErr w:type="spellStart"/>
      <w:r w:rsidR="00AF5D79" w:rsidRPr="00AF5D79">
        <w:rPr>
          <w:rFonts w:ascii="Calibri" w:hAnsi="Calibri" w:cs="Calibri"/>
          <w:sz w:val="24"/>
          <w:szCs w:val="24"/>
        </w:rPr>
        <w:t>Li</w:t>
      </w:r>
      <w:proofErr w:type="spellEnd"/>
      <w:r w:rsidR="00AF5D79" w:rsidRPr="00AF5D79">
        <w:rPr>
          <w:rFonts w:ascii="Calibri" w:hAnsi="Calibri" w:cs="Calibri"/>
          <w:sz w:val="24"/>
          <w:szCs w:val="24"/>
        </w:rPr>
        <w:t xml:space="preserve">, J., </w:t>
      </w:r>
      <w:proofErr w:type="spellStart"/>
      <w:r w:rsidR="00AF5D79" w:rsidRPr="00AF5D79">
        <w:rPr>
          <w:rFonts w:ascii="Calibri" w:hAnsi="Calibri" w:cs="Calibri"/>
          <w:sz w:val="24"/>
          <w:szCs w:val="24"/>
        </w:rPr>
        <w:t>Li</w:t>
      </w:r>
      <w:proofErr w:type="spellEnd"/>
      <w:r w:rsidR="00AF5D79" w:rsidRPr="00AF5D79">
        <w:rPr>
          <w:rFonts w:ascii="Calibri" w:hAnsi="Calibri" w:cs="Calibri"/>
          <w:sz w:val="24"/>
          <w:szCs w:val="24"/>
        </w:rPr>
        <w:t xml:space="preserve">, M. ve </w:t>
      </w:r>
      <w:proofErr w:type="spellStart"/>
      <w:r w:rsidR="00AF5D79" w:rsidRPr="00AF5D79">
        <w:rPr>
          <w:rFonts w:ascii="Calibri" w:hAnsi="Calibri" w:cs="Calibri"/>
          <w:sz w:val="24"/>
          <w:szCs w:val="24"/>
        </w:rPr>
        <w:t>Wu</w:t>
      </w:r>
      <w:proofErr w:type="spellEnd"/>
      <w:r w:rsidR="00AF5D79" w:rsidRPr="00AF5D79">
        <w:rPr>
          <w:rFonts w:ascii="Calibri" w:hAnsi="Calibri" w:cs="Calibri"/>
          <w:sz w:val="24"/>
          <w:szCs w:val="24"/>
        </w:rPr>
        <w:t xml:space="preserve">, N. </w:t>
      </w:r>
      <w:proofErr w:type="spellStart"/>
      <w:r w:rsidR="00AF5D79" w:rsidRPr="00AF5D79">
        <w:rPr>
          <w:rFonts w:ascii="Calibri" w:hAnsi="Calibri" w:cs="Calibri"/>
          <w:sz w:val="24"/>
          <w:szCs w:val="24"/>
        </w:rPr>
        <w:t>Nanostructured</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carbon</w:t>
      </w:r>
      <w:proofErr w:type="spellEnd"/>
      <w:r w:rsidR="00AF5D79" w:rsidRPr="00AF5D79">
        <w:rPr>
          <w:rFonts w:ascii="Calibri" w:hAnsi="Calibri" w:cs="Calibri"/>
          <w:sz w:val="24"/>
          <w:szCs w:val="24"/>
        </w:rPr>
        <w:t xml:space="preserve">–metal </w:t>
      </w:r>
      <w:proofErr w:type="spellStart"/>
      <w:r w:rsidR="00AF5D79" w:rsidRPr="00AF5D79">
        <w:rPr>
          <w:rFonts w:ascii="Calibri" w:hAnsi="Calibri" w:cs="Calibri"/>
          <w:sz w:val="24"/>
          <w:szCs w:val="24"/>
        </w:rPr>
        <w:t>oxide</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composite</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electrodes</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for</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supercapacitors</w:t>
      </w:r>
      <w:proofErr w:type="spellEnd"/>
      <w:r w:rsidR="00AF5D79" w:rsidRPr="00AF5D79">
        <w:rPr>
          <w:rFonts w:ascii="Calibri" w:hAnsi="Calibri" w:cs="Calibri"/>
          <w:sz w:val="24"/>
          <w:szCs w:val="24"/>
        </w:rPr>
        <w:t xml:space="preserve">: a </w:t>
      </w:r>
      <w:proofErr w:type="spellStart"/>
      <w:r w:rsidR="00AF5D79" w:rsidRPr="00AF5D79">
        <w:rPr>
          <w:rFonts w:ascii="Calibri" w:hAnsi="Calibri" w:cs="Calibri"/>
          <w:sz w:val="24"/>
          <w:szCs w:val="24"/>
        </w:rPr>
        <w:t>review</w:t>
      </w:r>
      <w:proofErr w:type="spellEnd"/>
      <w:r w:rsidR="00AF5D79" w:rsidRPr="00AF5D79">
        <w:rPr>
          <w:rFonts w:ascii="Calibri" w:hAnsi="Calibri" w:cs="Calibri"/>
          <w:sz w:val="24"/>
          <w:szCs w:val="24"/>
        </w:rPr>
        <w:t xml:space="preserve">. </w:t>
      </w:r>
      <w:proofErr w:type="spellStart"/>
      <w:r w:rsidR="00AF5D79" w:rsidRPr="00AF5D79">
        <w:rPr>
          <w:rFonts w:ascii="Calibri" w:hAnsi="Calibri" w:cs="Calibri"/>
          <w:sz w:val="24"/>
          <w:szCs w:val="24"/>
        </w:rPr>
        <w:t>Nanoscale</w:t>
      </w:r>
      <w:proofErr w:type="spellEnd"/>
      <w:r w:rsidR="00AF5D79" w:rsidRPr="00AF5D79">
        <w:rPr>
          <w:rFonts w:ascii="Calibri" w:hAnsi="Calibri" w:cs="Calibri"/>
          <w:sz w:val="24"/>
          <w:szCs w:val="24"/>
        </w:rPr>
        <w:t>, 5(1), 72-88</w:t>
      </w:r>
      <w:r w:rsidR="00C4705F">
        <w:rPr>
          <w:rFonts w:ascii="Calibri" w:hAnsi="Calibri" w:cs="Calibri"/>
          <w:sz w:val="24"/>
          <w:szCs w:val="24"/>
        </w:rPr>
        <w:t xml:space="preserve">, </w:t>
      </w:r>
      <w:r w:rsidR="00C4705F" w:rsidRPr="00AF5D79">
        <w:rPr>
          <w:rFonts w:ascii="Calibri" w:hAnsi="Calibri" w:cs="Calibri"/>
          <w:sz w:val="24"/>
          <w:szCs w:val="24"/>
        </w:rPr>
        <w:t>2013.</w:t>
      </w:r>
    </w:p>
    <w:p w14:paraId="6E7BE8DA" w14:textId="10C55F06" w:rsidR="00AF5D79" w:rsidRDefault="00FC0A03" w:rsidP="001F770C">
      <w:pPr>
        <w:spacing w:after="0" w:line="360" w:lineRule="auto"/>
        <w:jc w:val="both"/>
        <w:rPr>
          <w:rFonts w:ascii="Calibri" w:hAnsi="Calibri" w:cs="Calibri"/>
          <w:sz w:val="24"/>
          <w:szCs w:val="24"/>
        </w:rPr>
      </w:pPr>
      <w:r>
        <w:rPr>
          <w:rFonts w:ascii="Calibri" w:hAnsi="Calibri" w:cs="Calibri"/>
          <w:sz w:val="24"/>
          <w:szCs w:val="24"/>
        </w:rPr>
        <w:t>4</w:t>
      </w:r>
      <w:r w:rsidR="00C4705F">
        <w:rPr>
          <w:rFonts w:ascii="Calibri" w:hAnsi="Calibri" w:cs="Calibri"/>
          <w:sz w:val="24"/>
          <w:szCs w:val="24"/>
        </w:rPr>
        <w:t xml:space="preserve">. </w:t>
      </w:r>
      <w:r w:rsidR="00C4705F" w:rsidRPr="00C4705F">
        <w:rPr>
          <w:rFonts w:ascii="Calibri" w:hAnsi="Calibri" w:cs="Calibri"/>
          <w:sz w:val="24"/>
          <w:szCs w:val="24"/>
        </w:rPr>
        <w:t>Zhang</w:t>
      </w:r>
      <w:r>
        <w:rPr>
          <w:rFonts w:ascii="Calibri" w:hAnsi="Calibri" w:cs="Calibri"/>
          <w:sz w:val="24"/>
          <w:szCs w:val="24"/>
        </w:rPr>
        <w:t>, J.</w:t>
      </w:r>
      <w:r w:rsidR="00C4705F">
        <w:rPr>
          <w:rFonts w:ascii="Calibri" w:hAnsi="Calibri" w:cs="Calibri"/>
          <w:sz w:val="24"/>
          <w:szCs w:val="24"/>
        </w:rPr>
        <w:t xml:space="preserve">, </w:t>
      </w:r>
      <w:proofErr w:type="spellStart"/>
      <w:r w:rsidR="00C4705F" w:rsidRPr="00C4705F">
        <w:rPr>
          <w:rFonts w:ascii="Calibri" w:hAnsi="Calibri" w:cs="Calibri"/>
          <w:sz w:val="24"/>
          <w:szCs w:val="24"/>
        </w:rPr>
        <w:t>Gu</w:t>
      </w:r>
      <w:proofErr w:type="spellEnd"/>
      <w:r>
        <w:rPr>
          <w:rFonts w:ascii="Calibri" w:hAnsi="Calibri" w:cs="Calibri"/>
          <w:sz w:val="24"/>
          <w:szCs w:val="24"/>
        </w:rPr>
        <w:t>, M.</w:t>
      </w:r>
      <w:r w:rsidR="00C4705F" w:rsidRPr="00C4705F">
        <w:rPr>
          <w:rFonts w:ascii="Calibri" w:hAnsi="Calibri" w:cs="Calibri"/>
          <w:sz w:val="24"/>
          <w:szCs w:val="24"/>
        </w:rPr>
        <w:t>,</w:t>
      </w:r>
      <w:r w:rsidR="00C4705F">
        <w:rPr>
          <w:rFonts w:ascii="Calibri" w:hAnsi="Calibri" w:cs="Calibri"/>
          <w:sz w:val="24"/>
          <w:szCs w:val="24"/>
        </w:rPr>
        <w:t xml:space="preserve"> </w:t>
      </w:r>
      <w:r w:rsidR="00C4705F" w:rsidRPr="00C4705F">
        <w:rPr>
          <w:rFonts w:ascii="Calibri" w:hAnsi="Calibri" w:cs="Calibri"/>
          <w:sz w:val="24"/>
          <w:szCs w:val="24"/>
        </w:rPr>
        <w:t>Chen</w:t>
      </w:r>
      <w:r>
        <w:rPr>
          <w:rFonts w:ascii="Calibri" w:hAnsi="Calibri" w:cs="Calibri"/>
          <w:sz w:val="24"/>
          <w:szCs w:val="24"/>
        </w:rPr>
        <w:t xml:space="preserve">, X. </w:t>
      </w:r>
      <w:proofErr w:type="spellStart"/>
      <w:r w:rsidRPr="00FC0A03">
        <w:rPr>
          <w:rFonts w:ascii="Calibri" w:hAnsi="Calibri" w:cs="Calibri"/>
          <w:sz w:val="24"/>
          <w:szCs w:val="24"/>
        </w:rPr>
        <w:t>Supercapacitors</w:t>
      </w:r>
      <w:proofErr w:type="spellEnd"/>
      <w:r w:rsidRPr="00FC0A03">
        <w:rPr>
          <w:rFonts w:ascii="Calibri" w:hAnsi="Calibri" w:cs="Calibri"/>
          <w:sz w:val="24"/>
          <w:szCs w:val="24"/>
        </w:rPr>
        <w:t xml:space="preserve"> </w:t>
      </w:r>
      <w:proofErr w:type="spellStart"/>
      <w:r w:rsidRPr="00FC0A03">
        <w:rPr>
          <w:rFonts w:ascii="Calibri" w:hAnsi="Calibri" w:cs="Calibri"/>
          <w:sz w:val="24"/>
          <w:szCs w:val="24"/>
        </w:rPr>
        <w:t>for</w:t>
      </w:r>
      <w:proofErr w:type="spellEnd"/>
      <w:r w:rsidRPr="00FC0A03">
        <w:rPr>
          <w:rFonts w:ascii="Calibri" w:hAnsi="Calibri" w:cs="Calibri"/>
          <w:sz w:val="24"/>
          <w:szCs w:val="24"/>
        </w:rPr>
        <w:t xml:space="preserve"> </w:t>
      </w:r>
      <w:proofErr w:type="spellStart"/>
      <w:r w:rsidRPr="00FC0A03">
        <w:rPr>
          <w:rFonts w:ascii="Calibri" w:hAnsi="Calibri" w:cs="Calibri"/>
          <w:sz w:val="24"/>
          <w:szCs w:val="24"/>
        </w:rPr>
        <w:t>renewable</w:t>
      </w:r>
      <w:proofErr w:type="spellEnd"/>
      <w:r w:rsidRPr="00FC0A03">
        <w:rPr>
          <w:rFonts w:ascii="Calibri" w:hAnsi="Calibri" w:cs="Calibri"/>
          <w:sz w:val="24"/>
          <w:szCs w:val="24"/>
        </w:rPr>
        <w:t xml:space="preserve"> </w:t>
      </w:r>
      <w:proofErr w:type="spellStart"/>
      <w:r w:rsidRPr="00FC0A03">
        <w:rPr>
          <w:rFonts w:ascii="Calibri" w:hAnsi="Calibri" w:cs="Calibri"/>
          <w:sz w:val="24"/>
          <w:szCs w:val="24"/>
        </w:rPr>
        <w:t>energy</w:t>
      </w:r>
      <w:proofErr w:type="spellEnd"/>
      <w:r w:rsidRPr="00FC0A03">
        <w:rPr>
          <w:rFonts w:ascii="Calibri" w:hAnsi="Calibri" w:cs="Calibri"/>
          <w:sz w:val="24"/>
          <w:szCs w:val="24"/>
        </w:rPr>
        <w:t xml:space="preserve"> </w:t>
      </w:r>
      <w:proofErr w:type="spellStart"/>
      <w:r w:rsidRPr="00FC0A03">
        <w:rPr>
          <w:rFonts w:ascii="Calibri" w:hAnsi="Calibri" w:cs="Calibri"/>
          <w:sz w:val="24"/>
          <w:szCs w:val="24"/>
        </w:rPr>
        <w:t>applications</w:t>
      </w:r>
      <w:proofErr w:type="spellEnd"/>
      <w:r w:rsidRPr="00FC0A03">
        <w:rPr>
          <w:rFonts w:ascii="Calibri" w:hAnsi="Calibri" w:cs="Calibri"/>
          <w:sz w:val="24"/>
          <w:szCs w:val="24"/>
        </w:rPr>
        <w:t xml:space="preserve">: A </w:t>
      </w:r>
      <w:proofErr w:type="spellStart"/>
      <w:r w:rsidRPr="00FC0A03">
        <w:rPr>
          <w:rFonts w:ascii="Calibri" w:hAnsi="Calibri" w:cs="Calibri"/>
          <w:sz w:val="24"/>
          <w:szCs w:val="24"/>
        </w:rPr>
        <w:t>review</w:t>
      </w:r>
      <w:proofErr w:type="spellEnd"/>
      <w:r>
        <w:rPr>
          <w:rFonts w:ascii="Calibri" w:hAnsi="Calibri" w:cs="Calibri"/>
          <w:sz w:val="24"/>
          <w:szCs w:val="24"/>
        </w:rPr>
        <w:t xml:space="preserve">. </w:t>
      </w:r>
      <w:r w:rsidRPr="00FC0A03">
        <w:rPr>
          <w:rFonts w:ascii="Calibri" w:hAnsi="Calibri" w:cs="Calibri"/>
          <w:sz w:val="24"/>
          <w:szCs w:val="24"/>
        </w:rPr>
        <w:t xml:space="preserve">Micro </w:t>
      </w:r>
      <w:proofErr w:type="spellStart"/>
      <w:r w:rsidRPr="00FC0A03">
        <w:rPr>
          <w:rFonts w:ascii="Calibri" w:hAnsi="Calibri" w:cs="Calibri"/>
          <w:sz w:val="24"/>
          <w:szCs w:val="24"/>
        </w:rPr>
        <w:t>and</w:t>
      </w:r>
      <w:proofErr w:type="spellEnd"/>
      <w:r w:rsidRPr="00FC0A03">
        <w:rPr>
          <w:rFonts w:ascii="Calibri" w:hAnsi="Calibri" w:cs="Calibri"/>
          <w:sz w:val="24"/>
          <w:szCs w:val="24"/>
        </w:rPr>
        <w:t xml:space="preserve"> Nano </w:t>
      </w:r>
      <w:proofErr w:type="spellStart"/>
      <w:r w:rsidRPr="00FC0A03">
        <w:rPr>
          <w:rFonts w:ascii="Calibri" w:hAnsi="Calibri" w:cs="Calibri"/>
          <w:sz w:val="24"/>
          <w:szCs w:val="24"/>
        </w:rPr>
        <w:t>Engineering</w:t>
      </w:r>
      <w:proofErr w:type="spellEnd"/>
      <w:r>
        <w:rPr>
          <w:rFonts w:ascii="Calibri" w:hAnsi="Calibri" w:cs="Calibri"/>
          <w:sz w:val="24"/>
          <w:szCs w:val="24"/>
        </w:rPr>
        <w:t xml:space="preserve">, </w:t>
      </w:r>
      <w:r w:rsidRPr="00FC0A03">
        <w:rPr>
          <w:rFonts w:ascii="Calibri" w:hAnsi="Calibri" w:cs="Calibri"/>
          <w:sz w:val="24"/>
          <w:szCs w:val="24"/>
        </w:rPr>
        <w:t>100229</w:t>
      </w:r>
      <w:r>
        <w:rPr>
          <w:rFonts w:ascii="Calibri" w:hAnsi="Calibri" w:cs="Calibri"/>
          <w:sz w:val="24"/>
          <w:szCs w:val="24"/>
        </w:rPr>
        <w:t>, 2023.</w:t>
      </w:r>
    </w:p>
    <w:p w14:paraId="7AA99CFF" w14:textId="7F0909DB" w:rsidR="00FC0A03" w:rsidRPr="00002D02" w:rsidRDefault="004D122E" w:rsidP="001F770C">
      <w:pPr>
        <w:spacing w:after="0" w:line="360" w:lineRule="auto"/>
        <w:jc w:val="both"/>
        <w:rPr>
          <w:rFonts w:ascii="Calibri" w:hAnsi="Calibri" w:cs="Calibri"/>
          <w:sz w:val="24"/>
          <w:szCs w:val="24"/>
        </w:rPr>
      </w:pPr>
      <w:r>
        <w:rPr>
          <w:rFonts w:ascii="Calibri" w:hAnsi="Calibri" w:cs="Calibri"/>
          <w:sz w:val="24"/>
          <w:szCs w:val="24"/>
        </w:rPr>
        <w:t xml:space="preserve">5. </w:t>
      </w:r>
      <w:r w:rsidRPr="004D122E">
        <w:rPr>
          <w:rFonts w:ascii="Calibri" w:hAnsi="Calibri" w:cs="Calibri"/>
          <w:sz w:val="24"/>
          <w:szCs w:val="24"/>
        </w:rPr>
        <w:t>https://www.ntchip.com/electronics-news/what-is-a-supercapacitor</w:t>
      </w:r>
    </w:p>
    <w:sectPr w:rsidR="00FC0A03" w:rsidRPr="00002D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D6B7F"/>
    <w:multiLevelType w:val="hybridMultilevel"/>
    <w:tmpl w:val="7DE4F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299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D02"/>
    <w:rsid w:val="00002D02"/>
    <w:rsid w:val="00011DCE"/>
    <w:rsid w:val="001F770C"/>
    <w:rsid w:val="0024533F"/>
    <w:rsid w:val="00282140"/>
    <w:rsid w:val="002B56E2"/>
    <w:rsid w:val="002E3AF2"/>
    <w:rsid w:val="00360075"/>
    <w:rsid w:val="0042256E"/>
    <w:rsid w:val="004753DE"/>
    <w:rsid w:val="004D013F"/>
    <w:rsid w:val="004D122E"/>
    <w:rsid w:val="00553D82"/>
    <w:rsid w:val="00672C18"/>
    <w:rsid w:val="007515F1"/>
    <w:rsid w:val="00837F07"/>
    <w:rsid w:val="00892040"/>
    <w:rsid w:val="008D5FE1"/>
    <w:rsid w:val="008E6D50"/>
    <w:rsid w:val="00AF5D79"/>
    <w:rsid w:val="00C1027F"/>
    <w:rsid w:val="00C4705F"/>
    <w:rsid w:val="00C516DD"/>
    <w:rsid w:val="00C90DFA"/>
    <w:rsid w:val="00D91D60"/>
    <w:rsid w:val="00FC0A03"/>
    <w:rsid w:val="00FC12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0413"/>
  <w15:chartTrackingRefBased/>
  <w15:docId w15:val="{9B2A09D0-7D41-4B37-B8E1-B62D0782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02D0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unhideWhenUsed/>
    <w:qFormat/>
    <w:rsid w:val="00002D0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002D02"/>
    <w:pPr>
      <w:keepNext/>
      <w:keepLines/>
      <w:spacing w:before="160" w:after="80"/>
      <w:outlineLvl w:val="2"/>
    </w:pPr>
    <w:rPr>
      <w:rFonts w:eastAsiaTheme="majorEastAsia"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002D02"/>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002D02"/>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002D0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02D0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02D0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2D0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02D02"/>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rsid w:val="00002D02"/>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002D02"/>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002D02"/>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002D02"/>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002D0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02D0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02D0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2D02"/>
    <w:rPr>
      <w:rFonts w:eastAsiaTheme="majorEastAsia" w:cstheme="majorBidi"/>
      <w:color w:val="272727" w:themeColor="text1" w:themeTint="D8"/>
    </w:rPr>
  </w:style>
  <w:style w:type="paragraph" w:styleId="KonuBal">
    <w:name w:val="Title"/>
    <w:basedOn w:val="Normal"/>
    <w:next w:val="Normal"/>
    <w:link w:val="KonuBalChar"/>
    <w:uiPriority w:val="10"/>
    <w:qFormat/>
    <w:rsid w:val="00002D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2D0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2D0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2D0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2D0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2D02"/>
    <w:rPr>
      <w:i/>
      <w:iCs/>
      <w:color w:val="404040" w:themeColor="text1" w:themeTint="BF"/>
    </w:rPr>
  </w:style>
  <w:style w:type="paragraph" w:styleId="ListeParagraf">
    <w:name w:val="List Paragraph"/>
    <w:basedOn w:val="Normal"/>
    <w:uiPriority w:val="34"/>
    <w:qFormat/>
    <w:rsid w:val="00002D02"/>
    <w:pPr>
      <w:ind w:left="720"/>
      <w:contextualSpacing/>
    </w:pPr>
  </w:style>
  <w:style w:type="character" w:styleId="GlVurgulama">
    <w:name w:val="Intense Emphasis"/>
    <w:basedOn w:val="VarsaylanParagrafYazTipi"/>
    <w:uiPriority w:val="21"/>
    <w:qFormat/>
    <w:rsid w:val="00002D02"/>
    <w:rPr>
      <w:i/>
      <w:iCs/>
      <w:color w:val="2E74B5" w:themeColor="accent1" w:themeShade="BF"/>
    </w:rPr>
  </w:style>
  <w:style w:type="paragraph" w:styleId="GlAlnt">
    <w:name w:val="Intense Quote"/>
    <w:basedOn w:val="Normal"/>
    <w:next w:val="Normal"/>
    <w:link w:val="GlAlntChar"/>
    <w:uiPriority w:val="30"/>
    <w:qFormat/>
    <w:rsid w:val="00002D0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002D02"/>
    <w:rPr>
      <w:i/>
      <w:iCs/>
      <w:color w:val="2E74B5" w:themeColor="accent1" w:themeShade="BF"/>
    </w:rPr>
  </w:style>
  <w:style w:type="character" w:styleId="GlBavuru">
    <w:name w:val="Intense Reference"/>
    <w:basedOn w:val="VarsaylanParagrafYazTipi"/>
    <w:uiPriority w:val="32"/>
    <w:qFormat/>
    <w:rsid w:val="00002D02"/>
    <w:rPr>
      <w:b/>
      <w:bCs/>
      <w:smallCaps/>
      <w:color w:val="2E74B5" w:themeColor="accent1" w:themeShade="BF"/>
      <w:spacing w:val="5"/>
    </w:rPr>
  </w:style>
  <w:style w:type="paragraph" w:styleId="ResimYazs">
    <w:name w:val="caption"/>
    <w:basedOn w:val="Normal"/>
    <w:next w:val="Normal"/>
    <w:uiPriority w:val="35"/>
    <w:unhideWhenUsed/>
    <w:qFormat/>
    <w:rsid w:val="00002D02"/>
    <w:pPr>
      <w:spacing w:before="120" w:after="120" w:line="240" w:lineRule="auto"/>
    </w:pPr>
    <w:rPr>
      <w:rFonts w:ascii="Times New Roman" w:hAnsi="Times New Roman"/>
      <w:iCs/>
      <w:kern w:val="0"/>
      <w:sz w:val="24"/>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B9CCF-BD4D-4FFE-AF37-15581511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1320</Words>
  <Characters>7526</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OZAN ÖZTÜRK</dc:creator>
  <cp:keywords/>
  <dc:description/>
  <cp:lastModifiedBy>OZAN ÖZTÜRK</cp:lastModifiedBy>
  <cp:revision>11</cp:revision>
  <dcterms:created xsi:type="dcterms:W3CDTF">2025-07-21T11:07:00Z</dcterms:created>
  <dcterms:modified xsi:type="dcterms:W3CDTF">2025-07-21T13:40:00Z</dcterms:modified>
</cp:coreProperties>
</file>